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D8BFDD" w14:textId="14B69B21" w:rsidR="00EC15A3" w:rsidRPr="00137CE7" w:rsidRDefault="002222E1" w:rsidP="006A1E38">
      <w:pPr>
        <w:spacing w:line="240" w:lineRule="auto"/>
        <w:contextualSpacing/>
        <w:jc w:val="both"/>
        <w:rPr>
          <w:rFonts w:ascii="Arial" w:hAnsi="Arial" w:cs="Arial"/>
          <w:b/>
          <w:bCs/>
          <w:sz w:val="22"/>
          <w:szCs w:val="22"/>
          <w:u w:val="single"/>
        </w:rPr>
      </w:pPr>
      <w:r w:rsidRPr="00137CE7">
        <w:rPr>
          <w:rFonts w:ascii="Arial" w:hAnsi="Arial" w:cs="Arial"/>
          <w:b/>
          <w:bCs/>
          <w:sz w:val="22"/>
          <w:szCs w:val="22"/>
          <w:u w:val="single"/>
        </w:rPr>
        <w:t>VMRS Abstracts 2026</w:t>
      </w:r>
    </w:p>
    <w:p w14:paraId="7F9391DF" w14:textId="77777777" w:rsidR="000C745A" w:rsidRPr="00137CE7" w:rsidRDefault="000C745A" w:rsidP="006A1E38">
      <w:pPr>
        <w:spacing w:line="240" w:lineRule="auto"/>
        <w:contextualSpacing/>
        <w:jc w:val="both"/>
        <w:rPr>
          <w:rFonts w:ascii="Arial" w:hAnsi="Arial" w:cs="Arial"/>
          <w:b/>
          <w:bCs/>
          <w:sz w:val="22"/>
          <w:szCs w:val="22"/>
          <w:u w:val="single"/>
        </w:rPr>
      </w:pPr>
    </w:p>
    <w:p w14:paraId="7B3556DB" w14:textId="15BC8204" w:rsidR="000C745A" w:rsidRPr="00137CE7" w:rsidRDefault="000C745A" w:rsidP="006A1E38">
      <w:pPr>
        <w:spacing w:line="240" w:lineRule="auto"/>
        <w:contextualSpacing/>
        <w:jc w:val="both"/>
        <w:rPr>
          <w:rFonts w:ascii="Arial" w:hAnsi="Arial" w:cs="Arial"/>
          <w:sz w:val="22"/>
          <w:szCs w:val="22"/>
        </w:rPr>
      </w:pPr>
      <w:r w:rsidRPr="00137CE7">
        <w:rPr>
          <w:rFonts w:ascii="Arial" w:hAnsi="Arial" w:cs="Arial"/>
          <w:b/>
          <w:bCs/>
          <w:sz w:val="22"/>
          <w:szCs w:val="22"/>
        </w:rPr>
        <w:t>VMRS trainee</w:t>
      </w:r>
      <w:r w:rsidRPr="00137CE7">
        <w:rPr>
          <w:rFonts w:ascii="Arial" w:hAnsi="Arial" w:cs="Arial"/>
          <w:sz w:val="22"/>
          <w:szCs w:val="22"/>
        </w:rPr>
        <w:t xml:space="preserve"> in bold; </w:t>
      </w:r>
      <w:r w:rsidR="008F0654" w:rsidRPr="00137CE7">
        <w:rPr>
          <w:rFonts w:ascii="Arial" w:hAnsi="Arial" w:cs="Arial"/>
          <w:sz w:val="22"/>
          <w:szCs w:val="22"/>
        </w:rPr>
        <w:t xml:space="preserve">primary </w:t>
      </w:r>
      <w:r w:rsidRPr="00137CE7">
        <w:rPr>
          <w:rFonts w:ascii="Arial" w:hAnsi="Arial" w:cs="Arial"/>
          <w:i/>
          <w:iCs/>
          <w:sz w:val="22"/>
          <w:szCs w:val="22"/>
        </w:rPr>
        <w:t>mentor</w:t>
      </w:r>
      <w:r w:rsidR="00667F4A" w:rsidRPr="00137CE7">
        <w:rPr>
          <w:rFonts w:ascii="Arial" w:hAnsi="Arial" w:cs="Arial"/>
          <w:i/>
          <w:iCs/>
          <w:sz w:val="22"/>
          <w:szCs w:val="22"/>
        </w:rPr>
        <w:t>(s)</w:t>
      </w:r>
      <w:r w:rsidRPr="00137CE7">
        <w:rPr>
          <w:rFonts w:ascii="Arial" w:hAnsi="Arial" w:cs="Arial"/>
          <w:sz w:val="22"/>
          <w:szCs w:val="22"/>
        </w:rPr>
        <w:t xml:space="preserve"> in italics</w:t>
      </w:r>
    </w:p>
    <w:p w14:paraId="03074F3F" w14:textId="77777777" w:rsidR="000C745A" w:rsidRPr="00137CE7" w:rsidRDefault="000C745A" w:rsidP="006A1E38">
      <w:pPr>
        <w:pStyle w:val="Default"/>
        <w:contextualSpacing/>
        <w:jc w:val="both"/>
        <w:rPr>
          <w:rFonts w:ascii="Arial" w:hAnsi="Arial" w:cs="Arial"/>
          <w:sz w:val="22"/>
          <w:szCs w:val="22"/>
          <w:u w:val="single"/>
        </w:rPr>
      </w:pPr>
    </w:p>
    <w:p w14:paraId="4A77DDCE" w14:textId="020C4A22" w:rsidR="000C745A" w:rsidRPr="00137CE7" w:rsidRDefault="000C745A" w:rsidP="006A1E38">
      <w:pPr>
        <w:pStyle w:val="Default"/>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mRNA THREAPY TO INDUCE EXPRESSION OF BRSV NEUTRALIZING HUMAN ANTIBODY, MPE8 (IGG ISOTYPE), IN DAIRY CALVES </w:t>
      </w:r>
    </w:p>
    <w:p w14:paraId="0EFCDFF9" w14:textId="77777777" w:rsidR="000C745A" w:rsidRPr="00137CE7" w:rsidRDefault="000C745A" w:rsidP="006A1E38">
      <w:pPr>
        <w:pStyle w:val="Default"/>
        <w:contextualSpacing/>
        <w:jc w:val="both"/>
        <w:rPr>
          <w:rFonts w:ascii="Arial" w:hAnsi="Arial" w:cs="Arial"/>
          <w:sz w:val="22"/>
          <w:szCs w:val="22"/>
        </w:rPr>
      </w:pPr>
    </w:p>
    <w:p w14:paraId="73851156"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sz w:val="22"/>
          <w:szCs w:val="22"/>
        </w:rPr>
        <w:t>Authors: Harrison Carter</w:t>
      </w:r>
      <w:r w:rsidRPr="00137CE7">
        <w:rPr>
          <w:rFonts w:ascii="Arial" w:hAnsi="Arial" w:cs="Arial"/>
          <w:sz w:val="22"/>
          <w:szCs w:val="22"/>
        </w:rPr>
        <w:t xml:space="preserve">, Samantha Plocher, Merrilee Thoresen, </w:t>
      </w:r>
      <w:r w:rsidRPr="00137CE7">
        <w:rPr>
          <w:rFonts w:ascii="Arial" w:hAnsi="Arial" w:cs="Arial"/>
          <w:i/>
          <w:iCs/>
          <w:sz w:val="22"/>
          <w:szCs w:val="22"/>
        </w:rPr>
        <w:t>Amelia Woolums</w:t>
      </w:r>
      <w:r w:rsidRPr="00137CE7">
        <w:rPr>
          <w:rFonts w:ascii="Arial" w:hAnsi="Arial" w:cs="Arial"/>
          <w:sz w:val="22"/>
          <w:szCs w:val="22"/>
        </w:rPr>
        <w:t xml:space="preserve"> </w:t>
      </w:r>
    </w:p>
    <w:p w14:paraId="52F6F77E" w14:textId="0092DB08" w:rsidR="000C745A" w:rsidRPr="00137CE7" w:rsidRDefault="000C745A" w:rsidP="006A1E38">
      <w:pPr>
        <w:pStyle w:val="Default"/>
        <w:contextualSpacing/>
        <w:jc w:val="both"/>
        <w:rPr>
          <w:rFonts w:ascii="Arial" w:hAnsi="Arial" w:cs="Arial"/>
          <w:sz w:val="22"/>
          <w:szCs w:val="22"/>
        </w:rPr>
      </w:pPr>
      <w:r w:rsidRPr="00137CE7">
        <w:rPr>
          <w:rFonts w:ascii="Arial" w:hAnsi="Arial" w:cs="Arial"/>
          <w:sz w:val="22"/>
          <w:szCs w:val="22"/>
        </w:rPr>
        <w:t xml:space="preserve">Department of Pathobiology and Population Medicine, College of Veterinary Medicine, Mississippi State University, Mississippi State, MS </w:t>
      </w:r>
    </w:p>
    <w:p w14:paraId="3A6D6234" w14:textId="77777777" w:rsidR="005B185C" w:rsidRPr="00137CE7" w:rsidRDefault="005B185C" w:rsidP="006A1E38">
      <w:pPr>
        <w:pStyle w:val="Default"/>
        <w:contextualSpacing/>
        <w:jc w:val="both"/>
        <w:rPr>
          <w:rFonts w:ascii="Arial" w:hAnsi="Arial" w:cs="Arial"/>
          <w:sz w:val="22"/>
          <w:szCs w:val="22"/>
        </w:rPr>
      </w:pPr>
    </w:p>
    <w:p w14:paraId="67818226"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i/>
          <w:iCs/>
          <w:sz w:val="22"/>
          <w:szCs w:val="22"/>
        </w:rPr>
        <w:t xml:space="preserve">Background: </w:t>
      </w:r>
      <w:r w:rsidRPr="00137CE7">
        <w:rPr>
          <w:rFonts w:ascii="Arial" w:hAnsi="Arial" w:cs="Arial"/>
          <w:sz w:val="22"/>
          <w:szCs w:val="22"/>
        </w:rPr>
        <w:t xml:space="preserve">Bovine Respiratory Disease (BRD) is a multifactorial complex involving viral pathogens such as BRSV and secondary bacterial infection. Current treatments target only bacteria; mRNA therapy could induce expression of antiviral proteins such as neutralizing antibodies. </w:t>
      </w:r>
    </w:p>
    <w:p w14:paraId="6E6AE2CA"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i/>
          <w:iCs/>
          <w:sz w:val="22"/>
          <w:szCs w:val="22"/>
        </w:rPr>
        <w:t xml:space="preserve">Hypothesis: </w:t>
      </w:r>
      <w:r w:rsidRPr="00137CE7">
        <w:rPr>
          <w:rFonts w:ascii="Arial" w:hAnsi="Arial" w:cs="Arial"/>
          <w:sz w:val="22"/>
          <w:szCs w:val="22"/>
        </w:rPr>
        <w:t>Calves treated with mRNA encoding a BRSV-neutralizing human antibody (MPE8) by respiratory aerosol will produce human IgG (</w:t>
      </w:r>
      <w:proofErr w:type="spellStart"/>
      <w:r w:rsidRPr="00137CE7">
        <w:rPr>
          <w:rFonts w:ascii="Arial" w:hAnsi="Arial" w:cs="Arial"/>
          <w:sz w:val="22"/>
          <w:szCs w:val="22"/>
        </w:rPr>
        <w:t>hIgG</w:t>
      </w:r>
      <w:proofErr w:type="spellEnd"/>
      <w:r w:rsidRPr="00137CE7">
        <w:rPr>
          <w:rFonts w:ascii="Arial" w:hAnsi="Arial" w:cs="Arial"/>
          <w:sz w:val="22"/>
          <w:szCs w:val="22"/>
        </w:rPr>
        <w:t xml:space="preserve">) measurable by ELISA in nasal secretions and bronchoalveolar lavage (BAL). </w:t>
      </w:r>
    </w:p>
    <w:p w14:paraId="158B4A4F"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i/>
          <w:iCs/>
          <w:sz w:val="22"/>
          <w:szCs w:val="22"/>
        </w:rPr>
        <w:t xml:space="preserve">Objectives: </w:t>
      </w:r>
      <w:r w:rsidRPr="00137CE7">
        <w:rPr>
          <w:rFonts w:ascii="Arial" w:hAnsi="Arial" w:cs="Arial"/>
          <w:b/>
          <w:bCs/>
          <w:sz w:val="22"/>
          <w:szCs w:val="22"/>
        </w:rPr>
        <w:t xml:space="preserve">1) </w:t>
      </w:r>
      <w:r w:rsidRPr="00137CE7">
        <w:rPr>
          <w:rFonts w:ascii="Arial" w:hAnsi="Arial" w:cs="Arial"/>
          <w:sz w:val="22"/>
          <w:szCs w:val="22"/>
        </w:rPr>
        <w:t xml:space="preserve">Transfect bovine kidney cells (BKC) with mRNA encoding MPE8 then measure this </w:t>
      </w:r>
      <w:proofErr w:type="spellStart"/>
      <w:r w:rsidRPr="00137CE7">
        <w:rPr>
          <w:rFonts w:ascii="Arial" w:hAnsi="Arial" w:cs="Arial"/>
          <w:sz w:val="22"/>
          <w:szCs w:val="22"/>
        </w:rPr>
        <w:t>hIgG</w:t>
      </w:r>
      <w:proofErr w:type="spellEnd"/>
      <w:r w:rsidRPr="00137CE7">
        <w:rPr>
          <w:rFonts w:ascii="Arial" w:hAnsi="Arial" w:cs="Arial"/>
          <w:sz w:val="22"/>
          <w:szCs w:val="22"/>
        </w:rPr>
        <w:t xml:space="preserve"> with ELISA. </w:t>
      </w:r>
      <w:r w:rsidRPr="00137CE7">
        <w:rPr>
          <w:rFonts w:ascii="Arial" w:hAnsi="Arial" w:cs="Arial"/>
          <w:b/>
          <w:bCs/>
          <w:sz w:val="22"/>
          <w:szCs w:val="22"/>
        </w:rPr>
        <w:t xml:space="preserve">2) </w:t>
      </w:r>
      <w:r w:rsidRPr="00137CE7">
        <w:rPr>
          <w:rFonts w:ascii="Arial" w:hAnsi="Arial" w:cs="Arial"/>
          <w:sz w:val="22"/>
          <w:szCs w:val="22"/>
        </w:rPr>
        <w:t xml:space="preserve">Confirm that </w:t>
      </w:r>
      <w:proofErr w:type="spellStart"/>
      <w:r w:rsidRPr="00137CE7">
        <w:rPr>
          <w:rFonts w:ascii="Arial" w:hAnsi="Arial" w:cs="Arial"/>
          <w:sz w:val="22"/>
          <w:szCs w:val="22"/>
        </w:rPr>
        <w:t>hIgG</w:t>
      </w:r>
      <w:proofErr w:type="spellEnd"/>
      <w:r w:rsidRPr="00137CE7">
        <w:rPr>
          <w:rFonts w:ascii="Arial" w:hAnsi="Arial" w:cs="Arial"/>
          <w:sz w:val="22"/>
          <w:szCs w:val="22"/>
        </w:rPr>
        <w:t xml:space="preserve"> in bovine nasal secretions can be measured by ELISA. </w:t>
      </w:r>
      <w:r w:rsidRPr="00137CE7">
        <w:rPr>
          <w:rFonts w:ascii="Arial" w:hAnsi="Arial" w:cs="Arial"/>
          <w:b/>
          <w:bCs/>
          <w:sz w:val="22"/>
          <w:szCs w:val="22"/>
        </w:rPr>
        <w:t xml:space="preserve">3) </w:t>
      </w:r>
      <w:r w:rsidRPr="00137CE7">
        <w:rPr>
          <w:rFonts w:ascii="Arial" w:hAnsi="Arial" w:cs="Arial"/>
          <w:sz w:val="22"/>
          <w:szCs w:val="22"/>
        </w:rPr>
        <w:t xml:space="preserve">Determine if MPE8 mRNA treatment induces </w:t>
      </w:r>
      <w:proofErr w:type="spellStart"/>
      <w:r w:rsidRPr="00137CE7">
        <w:rPr>
          <w:rFonts w:ascii="Arial" w:hAnsi="Arial" w:cs="Arial"/>
          <w:sz w:val="22"/>
          <w:szCs w:val="22"/>
        </w:rPr>
        <w:t>hIgG</w:t>
      </w:r>
      <w:proofErr w:type="spellEnd"/>
      <w:r w:rsidRPr="00137CE7">
        <w:rPr>
          <w:rFonts w:ascii="Arial" w:hAnsi="Arial" w:cs="Arial"/>
          <w:sz w:val="22"/>
          <w:szCs w:val="22"/>
        </w:rPr>
        <w:t xml:space="preserve"> in calf nasal secretions or BAL. </w:t>
      </w:r>
      <w:r w:rsidRPr="00137CE7">
        <w:rPr>
          <w:rFonts w:ascii="Arial" w:hAnsi="Arial" w:cs="Arial"/>
          <w:b/>
          <w:bCs/>
          <w:sz w:val="22"/>
          <w:szCs w:val="22"/>
        </w:rPr>
        <w:t xml:space="preserve">4) </w:t>
      </w:r>
      <w:r w:rsidRPr="00137CE7">
        <w:rPr>
          <w:rFonts w:ascii="Arial" w:hAnsi="Arial" w:cs="Arial"/>
          <w:sz w:val="22"/>
          <w:szCs w:val="22"/>
        </w:rPr>
        <w:t xml:space="preserve">Evaluate whether MPE8 mRNA treatment reduced BRSV-induced disease severity. </w:t>
      </w:r>
    </w:p>
    <w:p w14:paraId="1BAE73F8"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i/>
          <w:iCs/>
          <w:sz w:val="22"/>
          <w:szCs w:val="22"/>
        </w:rPr>
        <w:t xml:space="preserve">Methods: </w:t>
      </w:r>
      <w:r w:rsidRPr="00137CE7">
        <w:rPr>
          <w:rFonts w:ascii="Arial" w:hAnsi="Arial" w:cs="Arial"/>
          <w:sz w:val="22"/>
          <w:szCs w:val="22"/>
        </w:rPr>
        <w:t xml:space="preserve">BKC were in vitro transfected with MPE8 mRNA. Six Holstein calves were treated with respiratory aerosol of MPE8 mRNA, 6 control calves received water; 24 hours later calves were challenged with BRSV. Nasal secretions were collected </w:t>
      </w:r>
      <w:proofErr w:type="gramStart"/>
      <w:r w:rsidRPr="00137CE7">
        <w:rPr>
          <w:rFonts w:ascii="Arial" w:hAnsi="Arial" w:cs="Arial"/>
          <w:sz w:val="22"/>
          <w:szCs w:val="22"/>
        </w:rPr>
        <w:t>daily,</w:t>
      </w:r>
      <w:proofErr w:type="gramEnd"/>
      <w:r w:rsidRPr="00137CE7">
        <w:rPr>
          <w:rFonts w:ascii="Arial" w:hAnsi="Arial" w:cs="Arial"/>
          <w:sz w:val="22"/>
          <w:szCs w:val="22"/>
        </w:rPr>
        <w:t xml:space="preserve"> BAL were collected day 8 post challenge. Clinical signs were assessed daily. Human IgG was measured in BKC supernatants and lysates, nasal secretions and BAL cells, by ELISA. </w:t>
      </w:r>
    </w:p>
    <w:p w14:paraId="0EA3BE93" w14:textId="77777777" w:rsidR="000C745A" w:rsidRPr="00137CE7" w:rsidRDefault="000C745A" w:rsidP="006A1E38">
      <w:pPr>
        <w:pStyle w:val="Default"/>
        <w:contextualSpacing/>
        <w:jc w:val="both"/>
        <w:rPr>
          <w:rFonts w:ascii="Arial" w:hAnsi="Arial" w:cs="Arial"/>
          <w:sz w:val="22"/>
          <w:szCs w:val="22"/>
        </w:rPr>
      </w:pPr>
      <w:r w:rsidRPr="00137CE7">
        <w:rPr>
          <w:rFonts w:ascii="Arial" w:hAnsi="Arial" w:cs="Arial"/>
          <w:b/>
          <w:bCs/>
          <w:i/>
          <w:iCs/>
          <w:sz w:val="22"/>
          <w:szCs w:val="22"/>
        </w:rPr>
        <w:t xml:space="preserve">Results: </w:t>
      </w:r>
      <w:r w:rsidRPr="00137CE7">
        <w:rPr>
          <w:rFonts w:ascii="Arial" w:hAnsi="Arial" w:cs="Arial"/>
          <w:sz w:val="22"/>
          <w:szCs w:val="22"/>
        </w:rPr>
        <w:t xml:space="preserve">In vitro transfection of BKC induced </w:t>
      </w:r>
      <w:proofErr w:type="spellStart"/>
      <w:r w:rsidRPr="00137CE7">
        <w:rPr>
          <w:rFonts w:ascii="Arial" w:hAnsi="Arial" w:cs="Arial"/>
          <w:sz w:val="22"/>
          <w:szCs w:val="22"/>
        </w:rPr>
        <w:t>hIgG</w:t>
      </w:r>
      <w:proofErr w:type="spellEnd"/>
      <w:r w:rsidRPr="00137CE7">
        <w:rPr>
          <w:rFonts w:ascii="Arial" w:hAnsi="Arial" w:cs="Arial"/>
          <w:sz w:val="22"/>
          <w:szCs w:val="22"/>
        </w:rPr>
        <w:t xml:space="preserve"> expression. Calves treated with mRNA expressed </w:t>
      </w:r>
      <w:proofErr w:type="spellStart"/>
      <w:r w:rsidRPr="00137CE7">
        <w:rPr>
          <w:rFonts w:ascii="Arial" w:hAnsi="Arial" w:cs="Arial"/>
          <w:sz w:val="22"/>
          <w:szCs w:val="22"/>
        </w:rPr>
        <w:t>hIgG</w:t>
      </w:r>
      <w:proofErr w:type="spellEnd"/>
      <w:r w:rsidRPr="00137CE7">
        <w:rPr>
          <w:rFonts w:ascii="Arial" w:hAnsi="Arial" w:cs="Arial"/>
          <w:sz w:val="22"/>
          <w:szCs w:val="22"/>
        </w:rPr>
        <w:t xml:space="preserve"> in BAL. Nasal expression was undetermined due to high nonspecific staining. Clinical signs were mild in both groups, precluding determination of impacts on disease. </w:t>
      </w:r>
    </w:p>
    <w:p w14:paraId="71BB130C" w14:textId="3AD2B9D6" w:rsidR="002222E1" w:rsidRPr="00137CE7" w:rsidRDefault="000C745A" w:rsidP="006A1E38">
      <w:pPr>
        <w:spacing w:line="240" w:lineRule="auto"/>
        <w:contextualSpacing/>
        <w:jc w:val="both"/>
        <w:rPr>
          <w:rFonts w:ascii="Arial" w:hAnsi="Arial" w:cs="Arial"/>
          <w:sz w:val="22"/>
          <w:szCs w:val="22"/>
        </w:rPr>
      </w:pPr>
      <w:r w:rsidRPr="00137CE7">
        <w:rPr>
          <w:rFonts w:ascii="Arial" w:hAnsi="Arial" w:cs="Arial"/>
          <w:b/>
          <w:bCs/>
          <w:i/>
          <w:iCs/>
          <w:sz w:val="22"/>
          <w:szCs w:val="22"/>
        </w:rPr>
        <w:t xml:space="preserve">Conclusion: </w:t>
      </w:r>
      <w:r w:rsidRPr="00137CE7">
        <w:rPr>
          <w:rFonts w:ascii="Arial" w:hAnsi="Arial" w:cs="Arial"/>
          <w:sz w:val="22"/>
          <w:szCs w:val="22"/>
        </w:rPr>
        <w:t>mRNA treatment can induce expression of antibodies in vitro and in vivo. Further research to develop mRNA antiviral therapies for cattle is warranted.</w:t>
      </w:r>
    </w:p>
    <w:p w14:paraId="16A14BD1" w14:textId="77777777" w:rsidR="00137CE7" w:rsidRPr="00137CE7" w:rsidRDefault="00137CE7" w:rsidP="006A1E38">
      <w:pPr>
        <w:spacing w:line="240" w:lineRule="auto"/>
        <w:contextualSpacing/>
        <w:jc w:val="both"/>
        <w:rPr>
          <w:rFonts w:ascii="Arial" w:hAnsi="Arial" w:cs="Arial"/>
          <w:sz w:val="22"/>
          <w:szCs w:val="22"/>
        </w:rPr>
      </w:pPr>
    </w:p>
    <w:p w14:paraId="734A0A08" w14:textId="5E918AB5"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Funding:</w:t>
      </w:r>
      <w:r w:rsidR="00222F38" w:rsidRPr="00137CE7">
        <w:rPr>
          <w:rFonts w:ascii="Arial" w:hAnsi="Arial" w:cs="Arial"/>
          <w:color w:val="000000"/>
          <w:kern w:val="0"/>
          <w:sz w:val="22"/>
          <w:szCs w:val="22"/>
        </w:rPr>
        <w:t xml:space="preserve"> </w:t>
      </w:r>
      <w:r w:rsidR="00222F38" w:rsidRPr="00137CE7">
        <w:rPr>
          <w:rFonts w:ascii="Arial" w:hAnsi="Arial" w:cs="Arial"/>
          <w:color w:val="000000"/>
          <w:kern w:val="0"/>
          <w:sz w:val="22"/>
          <w:szCs w:val="22"/>
        </w:rPr>
        <w:t>National Institutes of Health T35OD010432</w:t>
      </w:r>
      <w:r w:rsidR="00A7398D">
        <w:rPr>
          <w:rFonts w:ascii="Arial" w:hAnsi="Arial" w:cs="Arial"/>
          <w:color w:val="000000"/>
          <w:kern w:val="0"/>
          <w:sz w:val="22"/>
          <w:szCs w:val="22"/>
        </w:rPr>
        <w:t xml:space="preserve"> and </w:t>
      </w:r>
      <w:r w:rsidR="00A7398D" w:rsidRPr="00137CE7">
        <w:rPr>
          <w:rFonts w:ascii="Arial" w:hAnsi="Arial" w:cs="Arial"/>
          <w:color w:val="000000"/>
          <w:kern w:val="0"/>
          <w:sz w:val="22"/>
          <w:szCs w:val="22"/>
        </w:rPr>
        <w:t>MSU CVM Office of Research and Graduate Studies</w:t>
      </w:r>
    </w:p>
    <w:p w14:paraId="5A5CC7FC" w14:textId="77777777" w:rsidR="00DE0C1D" w:rsidRPr="00137CE7" w:rsidRDefault="00DE0C1D" w:rsidP="006A1E38">
      <w:pPr>
        <w:spacing w:line="240" w:lineRule="auto"/>
        <w:contextualSpacing/>
        <w:jc w:val="both"/>
        <w:rPr>
          <w:rFonts w:ascii="Arial" w:hAnsi="Arial" w:cs="Arial"/>
          <w:sz w:val="22"/>
          <w:szCs w:val="22"/>
        </w:rPr>
      </w:pPr>
    </w:p>
    <w:p w14:paraId="33B1FBC4" w14:textId="064F1BAD" w:rsidR="00DE0C1D" w:rsidRPr="00137CE7" w:rsidRDefault="00DE0C1D"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MECHANISMS OF IMMUNE SUPPRESSION BY CANNABINOIDS IN CANINE PBMCS: VIABILITY, ADJUNCT EFFECTS, AND RECEPTORS</w:t>
      </w:r>
    </w:p>
    <w:p w14:paraId="7F520210" w14:textId="77777777" w:rsidR="005B185C" w:rsidRPr="00137CE7" w:rsidRDefault="005B185C" w:rsidP="006A1E38">
      <w:pPr>
        <w:spacing w:line="240" w:lineRule="auto"/>
        <w:contextualSpacing/>
        <w:jc w:val="both"/>
        <w:rPr>
          <w:rFonts w:ascii="Arial" w:hAnsi="Arial" w:cs="Arial"/>
          <w:b/>
          <w:bCs/>
          <w:sz w:val="22"/>
          <w:szCs w:val="22"/>
        </w:rPr>
      </w:pPr>
    </w:p>
    <w:p w14:paraId="4E14698A"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sz w:val="22"/>
          <w:szCs w:val="22"/>
        </w:rPr>
        <w:t>Authors:</w:t>
      </w:r>
      <w:r w:rsidRPr="00137CE7">
        <w:rPr>
          <w:rFonts w:ascii="Arial" w:hAnsi="Arial" w:cs="Arial"/>
          <w:sz w:val="22"/>
          <w:szCs w:val="22"/>
        </w:rPr>
        <w:t xml:space="preserve"> </w:t>
      </w:r>
      <w:proofErr w:type="spellStart"/>
      <w:r w:rsidRPr="00137CE7">
        <w:rPr>
          <w:rFonts w:ascii="Arial" w:hAnsi="Arial" w:cs="Arial"/>
          <w:b/>
          <w:bCs/>
          <w:sz w:val="22"/>
          <w:szCs w:val="22"/>
        </w:rPr>
        <w:t>Celarie</w:t>
      </w:r>
      <w:proofErr w:type="spellEnd"/>
      <w:r w:rsidRPr="00137CE7">
        <w:rPr>
          <w:rFonts w:ascii="Arial" w:hAnsi="Arial" w:cs="Arial"/>
          <w:b/>
          <w:bCs/>
          <w:sz w:val="22"/>
          <w:szCs w:val="22"/>
        </w:rPr>
        <w:t xml:space="preserve"> A.A.</w:t>
      </w:r>
      <w:r w:rsidRPr="00137CE7">
        <w:rPr>
          <w:rFonts w:ascii="Arial" w:hAnsi="Arial" w:cs="Arial"/>
          <w:sz w:val="22"/>
          <w:szCs w:val="22"/>
          <w:vertAlign w:val="superscript"/>
        </w:rPr>
        <w:t>1</w:t>
      </w:r>
      <w:r w:rsidRPr="00137CE7">
        <w:rPr>
          <w:rFonts w:ascii="Arial" w:hAnsi="Arial" w:cs="Arial"/>
          <w:sz w:val="22"/>
          <w:szCs w:val="22"/>
        </w:rPr>
        <w:t>, Deb A.</w:t>
      </w:r>
      <w:r w:rsidRPr="00137CE7">
        <w:rPr>
          <w:rFonts w:ascii="Arial" w:hAnsi="Arial" w:cs="Arial"/>
          <w:sz w:val="22"/>
          <w:szCs w:val="22"/>
          <w:vertAlign w:val="superscript"/>
        </w:rPr>
        <w:t>1</w:t>
      </w:r>
      <w:r w:rsidRPr="00137CE7">
        <w:rPr>
          <w:rFonts w:ascii="Arial" w:hAnsi="Arial" w:cs="Arial"/>
          <w:sz w:val="22"/>
          <w:szCs w:val="22"/>
        </w:rPr>
        <w:t>, Thomason J.M.</w:t>
      </w:r>
      <w:r w:rsidRPr="00137CE7">
        <w:rPr>
          <w:rFonts w:ascii="Arial" w:hAnsi="Arial" w:cs="Arial"/>
          <w:sz w:val="22"/>
          <w:szCs w:val="22"/>
          <w:vertAlign w:val="superscript"/>
        </w:rPr>
        <w:t>2</w:t>
      </w:r>
      <w:r w:rsidRPr="00137CE7">
        <w:rPr>
          <w:rFonts w:ascii="Arial" w:hAnsi="Arial" w:cs="Arial"/>
          <w:sz w:val="22"/>
          <w:szCs w:val="22"/>
        </w:rPr>
        <w:t>, Jaffe M.H.</w:t>
      </w:r>
      <w:r w:rsidRPr="00137CE7">
        <w:rPr>
          <w:rFonts w:ascii="Arial" w:hAnsi="Arial" w:cs="Arial"/>
          <w:sz w:val="22"/>
          <w:szCs w:val="22"/>
          <w:vertAlign w:val="superscript"/>
        </w:rPr>
        <w:t>2</w:t>
      </w:r>
      <w:r w:rsidRPr="00137CE7">
        <w:rPr>
          <w:rFonts w:ascii="Arial" w:hAnsi="Arial" w:cs="Arial"/>
          <w:sz w:val="22"/>
          <w:szCs w:val="22"/>
        </w:rPr>
        <w:t xml:space="preserve">, and </w:t>
      </w:r>
      <w:r w:rsidRPr="00137CE7">
        <w:rPr>
          <w:rFonts w:ascii="Arial" w:hAnsi="Arial" w:cs="Arial"/>
          <w:i/>
          <w:iCs/>
          <w:sz w:val="22"/>
          <w:szCs w:val="22"/>
        </w:rPr>
        <w:t>Kaplan B.L.F.</w:t>
      </w:r>
      <w:r w:rsidRPr="00137CE7">
        <w:rPr>
          <w:rFonts w:ascii="Arial" w:hAnsi="Arial" w:cs="Arial"/>
          <w:sz w:val="22"/>
          <w:szCs w:val="22"/>
          <w:vertAlign w:val="superscript"/>
        </w:rPr>
        <w:t>1</w:t>
      </w:r>
    </w:p>
    <w:p w14:paraId="284A8E72" w14:textId="72033846"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sz w:val="22"/>
          <w:szCs w:val="22"/>
          <w:vertAlign w:val="superscript"/>
        </w:rPr>
        <w:t>1</w:t>
      </w:r>
      <w:r w:rsidRPr="00137CE7">
        <w:rPr>
          <w:rFonts w:ascii="Arial" w:hAnsi="Arial" w:cs="Arial"/>
          <w:sz w:val="22"/>
          <w:szCs w:val="22"/>
        </w:rPr>
        <w:t>Department of Comparative Biomedical Sciences, College of Veterinary Medicine, Mississippi State University, Starkville, M</w:t>
      </w:r>
      <w:r w:rsidRPr="00137CE7">
        <w:rPr>
          <w:rFonts w:ascii="Arial" w:hAnsi="Arial" w:cs="Arial"/>
          <w:sz w:val="22"/>
          <w:szCs w:val="22"/>
        </w:rPr>
        <w:t>S</w:t>
      </w:r>
      <w:r w:rsidR="000A4471" w:rsidRPr="00137CE7">
        <w:rPr>
          <w:rFonts w:ascii="Arial" w:hAnsi="Arial" w:cs="Arial"/>
          <w:sz w:val="22"/>
          <w:szCs w:val="22"/>
        </w:rPr>
        <w:t>;</w:t>
      </w:r>
      <w:r w:rsidRPr="00137CE7">
        <w:rPr>
          <w:rFonts w:ascii="Arial" w:hAnsi="Arial" w:cs="Arial"/>
          <w:sz w:val="22"/>
          <w:szCs w:val="22"/>
        </w:rPr>
        <w:t xml:space="preserve"> </w:t>
      </w:r>
      <w:r w:rsidRPr="00137CE7">
        <w:rPr>
          <w:rFonts w:ascii="Arial" w:hAnsi="Arial" w:cs="Arial"/>
          <w:sz w:val="22"/>
          <w:szCs w:val="22"/>
          <w:vertAlign w:val="superscript"/>
        </w:rPr>
        <w:t>2</w:t>
      </w:r>
      <w:r w:rsidRPr="00137CE7">
        <w:rPr>
          <w:rFonts w:ascii="Arial" w:hAnsi="Arial" w:cs="Arial"/>
          <w:sz w:val="22"/>
          <w:szCs w:val="22"/>
        </w:rPr>
        <w:t>Department of Clinical Sciences, College of Veterinary Medicine, Mississippi State University, Starkville, MS</w:t>
      </w:r>
    </w:p>
    <w:p w14:paraId="52DCAD35" w14:textId="77777777" w:rsidR="000A4471" w:rsidRPr="00137CE7" w:rsidRDefault="000A4471" w:rsidP="006A1E38">
      <w:pPr>
        <w:spacing w:line="240" w:lineRule="auto"/>
        <w:contextualSpacing/>
        <w:jc w:val="both"/>
        <w:rPr>
          <w:rFonts w:ascii="Arial" w:hAnsi="Arial" w:cs="Arial"/>
          <w:sz w:val="22"/>
          <w:szCs w:val="22"/>
        </w:rPr>
      </w:pPr>
    </w:p>
    <w:p w14:paraId="4F477C7C"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Cannabinoid use in dogs is rising, but we know little of their effects and mechanisms for immune suppression. Cannabinoid receptors CB1 and CB2 are both expressed in dogs, but we do not know whether they mediate cannabinoid immune suppression. Further, cannabinoids might offer adjunct effects to other immune suppressive therapies, such as glucocorticoid steroids.</w:t>
      </w:r>
    </w:p>
    <w:p w14:paraId="047F8F6C"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lastRenderedPageBreak/>
        <w:t>Hypothesis</w:t>
      </w:r>
      <w:r w:rsidRPr="00137CE7">
        <w:rPr>
          <w:rFonts w:ascii="Arial" w:hAnsi="Arial" w:cs="Arial"/>
          <w:b/>
          <w:bCs/>
          <w:sz w:val="22"/>
          <w:szCs w:val="22"/>
        </w:rPr>
        <w:t>:</w:t>
      </w:r>
      <w:r w:rsidRPr="00137CE7">
        <w:rPr>
          <w:rFonts w:ascii="Arial" w:hAnsi="Arial" w:cs="Arial"/>
          <w:sz w:val="22"/>
          <w:szCs w:val="22"/>
        </w:rPr>
        <w:t xml:space="preserve"> We hypothesized that cannabinoid-mediated suppression of IFN-γ in canine peripheral blood mononuclear cells (PBMCs) would be enhanced with prednisolone but reversed with cannabinoid receptor antagonists/inverse agonists.</w:t>
      </w:r>
    </w:p>
    <w:p w14:paraId="2CADC4B4"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1) Standardize ELISA data with viability data; 2) Investigate the effects of prednisolone with cannabinoids on PBMCs; 3) Investigate the mechanisms of CB1 and CB2.</w:t>
      </w:r>
    </w:p>
    <w:p w14:paraId="215FF626"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We isolated healthy and osteoarthritic canine PBMCs by density gradient centrifugation and cultured them with different combinations of cannabinoids and prednisolone or cannabinoid receptor antagonists/inverse agonists AM251 (AM) and SR144258 (SR). We measured IFN-γ secretion through ELISA. After, we measured viability, standardized the IFN-γ concentrations to single-cell count, and investigated intracellular production of IFN-γ via flow cytometry.</w:t>
      </w:r>
    </w:p>
    <w:p w14:paraId="4CE99910" w14:textId="77777777" w:rsidR="000A4471"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Canine PBMC viability decreased after stimulation, but osteoarthritic PBMCs were more resilient. THC provided an additive anti-inflammatory effect when combined with prednisolone by decreasing IFN-γ secretion. However, the intracellular production of IFN-γ was not sensitive to the cannabinoids or prednisolone. Additionally, SR unexpectedly inhibited IFN-γ secretion.</w:t>
      </w:r>
    </w:p>
    <w:p w14:paraId="4A961CD5" w14:textId="5AF39009" w:rsidR="00DE0C1D" w:rsidRPr="00137CE7" w:rsidRDefault="00DE0C1D" w:rsidP="006A1E38">
      <w:pPr>
        <w:spacing w:line="240" w:lineRule="auto"/>
        <w:contextualSpacing/>
        <w:jc w:val="both"/>
        <w:rPr>
          <w:rFonts w:ascii="Arial" w:hAnsi="Arial" w:cs="Arial"/>
          <w:color w:val="000000"/>
          <w:kern w:val="0"/>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These results provide insight into the potential anti-inflammatory effects of adjunct use of cannabinoids and steroids and a</w:t>
      </w:r>
      <w:r w:rsidR="005B185C" w:rsidRPr="00137CE7">
        <w:rPr>
          <w:rFonts w:ascii="Arial" w:hAnsi="Arial" w:cs="Arial"/>
          <w:sz w:val="22"/>
          <w:szCs w:val="22"/>
        </w:rPr>
        <w:t xml:space="preserve"> </w:t>
      </w:r>
      <w:r w:rsidR="005B185C" w:rsidRPr="00137CE7">
        <w:rPr>
          <w:rFonts w:ascii="Arial" w:hAnsi="Arial" w:cs="Arial"/>
          <w:color w:val="000000"/>
          <w:kern w:val="0"/>
          <w:sz w:val="22"/>
          <w:szCs w:val="22"/>
        </w:rPr>
        <w:t xml:space="preserve">better understanding of the roles of the cannabinoid receptors in canine inflammation. </w:t>
      </w:r>
    </w:p>
    <w:p w14:paraId="0FB774C8" w14:textId="77777777" w:rsidR="008F0654" w:rsidRPr="00137CE7" w:rsidRDefault="008F0654" w:rsidP="006A1E38">
      <w:pPr>
        <w:spacing w:line="240" w:lineRule="auto"/>
        <w:contextualSpacing/>
        <w:jc w:val="both"/>
        <w:rPr>
          <w:rFonts w:ascii="Arial" w:hAnsi="Arial" w:cs="Arial"/>
          <w:color w:val="000000"/>
          <w:kern w:val="0"/>
          <w:sz w:val="22"/>
          <w:szCs w:val="22"/>
        </w:rPr>
      </w:pPr>
    </w:p>
    <w:p w14:paraId="2DABB7CD" w14:textId="6399A48D" w:rsidR="008F0654" w:rsidRPr="00A7398D"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Funding:</w:t>
      </w:r>
      <w:r w:rsidR="00222F38" w:rsidRPr="00137CE7">
        <w:rPr>
          <w:rFonts w:ascii="Arial" w:hAnsi="Arial" w:cs="Arial"/>
          <w:color w:val="000000"/>
          <w:kern w:val="0"/>
          <w:sz w:val="22"/>
          <w:szCs w:val="22"/>
        </w:rPr>
        <w:t xml:space="preserve"> </w:t>
      </w:r>
      <w:r w:rsidR="00222F38" w:rsidRPr="00137CE7">
        <w:rPr>
          <w:rFonts w:ascii="Arial" w:hAnsi="Arial" w:cs="Arial"/>
          <w:color w:val="000000"/>
          <w:kern w:val="0"/>
          <w:sz w:val="22"/>
          <w:szCs w:val="22"/>
        </w:rPr>
        <w:t>National Institutes of Health T35OD010432</w:t>
      </w:r>
      <w:r w:rsidR="00A7398D">
        <w:rPr>
          <w:rFonts w:ascii="Arial" w:hAnsi="Arial" w:cs="Arial"/>
          <w:b/>
          <w:bCs/>
          <w:sz w:val="22"/>
          <w:szCs w:val="22"/>
        </w:rPr>
        <w:t xml:space="preserve"> </w:t>
      </w:r>
      <w:r w:rsidR="00A7398D">
        <w:rPr>
          <w:rFonts w:ascii="Arial" w:hAnsi="Arial" w:cs="Arial"/>
          <w:color w:val="000000"/>
          <w:kern w:val="0"/>
          <w:sz w:val="22"/>
          <w:szCs w:val="22"/>
        </w:rPr>
        <w:t xml:space="preserve">and </w:t>
      </w:r>
      <w:r w:rsidR="00A7398D" w:rsidRPr="00137CE7">
        <w:rPr>
          <w:rFonts w:ascii="Arial" w:hAnsi="Arial" w:cs="Arial"/>
          <w:color w:val="000000"/>
          <w:kern w:val="0"/>
          <w:sz w:val="22"/>
          <w:szCs w:val="22"/>
        </w:rPr>
        <w:t>MSU CVM Office of Research and Graduate Studies</w:t>
      </w:r>
    </w:p>
    <w:p w14:paraId="78956C50" w14:textId="77777777" w:rsidR="00AC3CA4" w:rsidRPr="00137CE7" w:rsidRDefault="00AC3CA4" w:rsidP="006A1E38">
      <w:pPr>
        <w:spacing w:line="240" w:lineRule="auto"/>
        <w:contextualSpacing/>
        <w:jc w:val="both"/>
        <w:rPr>
          <w:rFonts w:ascii="Arial" w:hAnsi="Arial" w:cs="Arial"/>
          <w:color w:val="000000"/>
          <w:kern w:val="0"/>
          <w:sz w:val="22"/>
          <w:szCs w:val="22"/>
        </w:rPr>
      </w:pPr>
    </w:p>
    <w:p w14:paraId="5A5F07B3"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rPr>
      </w:pPr>
    </w:p>
    <w:p w14:paraId="0AB734A6" w14:textId="09B1A73C" w:rsidR="006A1E38" w:rsidRDefault="006A1E38" w:rsidP="006A1E38">
      <w:pPr>
        <w:autoSpaceDE w:val="0"/>
        <w:autoSpaceDN w:val="0"/>
        <w:adjustRightInd w:val="0"/>
        <w:spacing w:after="0" w:line="240" w:lineRule="auto"/>
        <w:jc w:val="both"/>
        <w:rPr>
          <w:rFonts w:ascii="Arial" w:hAnsi="Arial" w:cs="Arial"/>
          <w:b/>
          <w:bCs/>
          <w:color w:val="000000"/>
          <w:kern w:val="0"/>
          <w:sz w:val="23"/>
          <w:szCs w:val="23"/>
        </w:rPr>
      </w:pPr>
      <w:r w:rsidRPr="006A1E38">
        <w:rPr>
          <w:rFonts w:ascii="Arial" w:hAnsi="Arial" w:cs="Arial"/>
          <w:b/>
          <w:bCs/>
          <w:color w:val="000000"/>
          <w:kern w:val="0"/>
          <w:u w:val="single"/>
        </w:rPr>
        <w:t>Title:</w:t>
      </w:r>
      <w:r w:rsidRPr="006A1E38">
        <w:rPr>
          <w:rFonts w:ascii="Arial" w:hAnsi="Arial" w:cs="Arial"/>
          <w:color w:val="000000"/>
          <w:kern w:val="0"/>
        </w:rPr>
        <w:t xml:space="preserve"> </w:t>
      </w:r>
      <w:r w:rsidRPr="006A1E38">
        <w:rPr>
          <w:rFonts w:ascii="Arial" w:hAnsi="Arial" w:cs="Arial"/>
          <w:b/>
          <w:bCs/>
          <w:color w:val="000000"/>
          <w:kern w:val="0"/>
          <w:sz w:val="23"/>
          <w:szCs w:val="23"/>
        </w:rPr>
        <w:t xml:space="preserve">ANOTHER DIMENSION TO EQUINE HYPERINSULINEMIA: EVALUATING HUMAN AND PORCINE IMMUNOASSAYS </w:t>
      </w:r>
    </w:p>
    <w:p w14:paraId="02D6B512"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p>
    <w:p w14:paraId="316B76E2"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color w:val="000000"/>
          <w:kern w:val="0"/>
          <w:sz w:val="23"/>
          <w:szCs w:val="23"/>
        </w:rPr>
        <w:t>Authors: Jacqueline Crislip</w:t>
      </w:r>
      <w:r w:rsidRPr="006A1E38">
        <w:rPr>
          <w:rFonts w:ascii="Arial" w:hAnsi="Arial" w:cs="Arial"/>
          <w:color w:val="000000"/>
          <w:kern w:val="0"/>
          <w:sz w:val="23"/>
          <w:szCs w:val="23"/>
        </w:rPr>
        <w:t xml:space="preserve">, Andrea K. Persons, </w:t>
      </w:r>
      <w:r w:rsidRPr="006A1E38">
        <w:rPr>
          <w:rFonts w:ascii="Arial" w:hAnsi="Arial" w:cs="Arial"/>
          <w:i/>
          <w:iCs/>
          <w:color w:val="000000"/>
          <w:kern w:val="0"/>
          <w:sz w:val="23"/>
          <w:szCs w:val="23"/>
        </w:rPr>
        <w:t xml:space="preserve">Julien </w:t>
      </w:r>
      <w:proofErr w:type="spellStart"/>
      <w:r w:rsidRPr="006A1E38">
        <w:rPr>
          <w:rFonts w:ascii="Arial" w:hAnsi="Arial" w:cs="Arial"/>
          <w:i/>
          <w:iCs/>
          <w:color w:val="000000"/>
          <w:kern w:val="0"/>
          <w:sz w:val="23"/>
          <w:szCs w:val="23"/>
        </w:rPr>
        <w:t>Delarocque</w:t>
      </w:r>
      <w:proofErr w:type="spellEnd"/>
      <w:r w:rsidRPr="006A1E38">
        <w:rPr>
          <w:rFonts w:ascii="Arial" w:hAnsi="Arial" w:cs="Arial"/>
          <w:color w:val="000000"/>
          <w:kern w:val="0"/>
          <w:sz w:val="23"/>
          <w:szCs w:val="23"/>
        </w:rPr>
        <w:t xml:space="preserve"> </w:t>
      </w:r>
    </w:p>
    <w:p w14:paraId="02BC86E2" w14:textId="77777777" w:rsid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color w:val="000000"/>
          <w:kern w:val="0"/>
          <w:sz w:val="23"/>
          <w:szCs w:val="23"/>
        </w:rPr>
        <w:t xml:space="preserve">Nancy Fair Link Laminitis Research Center, College of Veterinary Medicine, Mississippi State University, Starkville, MS </w:t>
      </w:r>
    </w:p>
    <w:p w14:paraId="00CDE3D7"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p>
    <w:p w14:paraId="158F4A38" w14:textId="62D2727E"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Background: </w:t>
      </w:r>
      <w:r w:rsidRPr="006A1E38">
        <w:rPr>
          <w:rFonts w:ascii="Arial" w:hAnsi="Arial" w:cs="Arial"/>
          <w:color w:val="000000"/>
          <w:kern w:val="0"/>
          <w:sz w:val="23"/>
          <w:szCs w:val="23"/>
        </w:rPr>
        <w:t xml:space="preserve">Hyperinsulinemia drives the development of </w:t>
      </w:r>
      <w:proofErr w:type="spellStart"/>
      <w:r w:rsidRPr="006A1E38">
        <w:rPr>
          <w:rFonts w:ascii="Arial" w:hAnsi="Arial" w:cs="Arial"/>
          <w:color w:val="000000"/>
          <w:kern w:val="0"/>
          <w:sz w:val="23"/>
          <w:szCs w:val="23"/>
        </w:rPr>
        <w:t>endocrinopathic</w:t>
      </w:r>
      <w:proofErr w:type="spellEnd"/>
      <w:r w:rsidRPr="006A1E38">
        <w:rPr>
          <w:rFonts w:ascii="Arial" w:hAnsi="Arial" w:cs="Arial"/>
          <w:color w:val="000000"/>
          <w:kern w:val="0"/>
          <w:sz w:val="23"/>
          <w:szCs w:val="23"/>
        </w:rPr>
        <w:t xml:space="preserve"> laminitis,</w:t>
      </w:r>
      <w:r>
        <w:rPr>
          <w:rFonts w:ascii="Arial" w:hAnsi="Arial" w:cs="Arial"/>
          <w:color w:val="000000"/>
          <w:kern w:val="0"/>
          <w:sz w:val="23"/>
          <w:szCs w:val="23"/>
        </w:rPr>
        <w:t xml:space="preserve"> </w:t>
      </w:r>
      <w:r w:rsidRPr="006A1E38">
        <w:rPr>
          <w:rFonts w:ascii="Arial" w:hAnsi="Arial" w:cs="Arial"/>
          <w:color w:val="000000"/>
          <w:kern w:val="0"/>
          <w:sz w:val="23"/>
          <w:szCs w:val="23"/>
        </w:rPr>
        <w:t>making improved management of insulin dysregulation critical for disease prevention.</w:t>
      </w:r>
      <w:r>
        <w:rPr>
          <w:rFonts w:ascii="Arial" w:hAnsi="Arial" w:cs="Arial"/>
          <w:color w:val="000000"/>
          <w:kern w:val="0"/>
          <w:sz w:val="23"/>
          <w:szCs w:val="23"/>
        </w:rPr>
        <w:t xml:space="preserve"> </w:t>
      </w:r>
      <w:r w:rsidRPr="006A1E38">
        <w:rPr>
          <w:rFonts w:ascii="Arial" w:hAnsi="Arial" w:cs="Arial"/>
          <w:color w:val="000000"/>
          <w:kern w:val="0"/>
          <w:sz w:val="23"/>
          <w:szCs w:val="23"/>
        </w:rPr>
        <w:t xml:space="preserve">Previous studies indicate that hyperinsulinemia may result from both increased pancreatic secretion and decreased hepatic clearance, but the relative contribution of hepatic insulin clearance cannot be measured. Alongside insulin concentrations, C-peptide may indirectly estimate hepatic clearance because they are secreted in equimolar amounts, whereas only insulin undergoes substantial hepatic metabolism. </w:t>
      </w:r>
    </w:p>
    <w:p w14:paraId="351F1014"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Hypothesis: </w:t>
      </w:r>
      <w:r w:rsidRPr="006A1E38">
        <w:rPr>
          <w:rFonts w:ascii="Arial" w:hAnsi="Arial" w:cs="Arial"/>
          <w:color w:val="000000"/>
          <w:kern w:val="0"/>
          <w:sz w:val="23"/>
          <w:szCs w:val="23"/>
        </w:rPr>
        <w:t xml:space="preserve">Cross-reactivity between human or porcine and equine C-peptide is sufficient to quantify equine C-peptide with these immunoassays. If a validated assay is identified, the ratio of C-peptide and insulin concentrations will reflect hepatic insulin clearance. </w:t>
      </w:r>
    </w:p>
    <w:p w14:paraId="03B88F8F"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Objective: </w:t>
      </w:r>
      <w:r w:rsidRPr="006A1E38">
        <w:rPr>
          <w:rFonts w:ascii="Arial" w:hAnsi="Arial" w:cs="Arial"/>
          <w:color w:val="000000"/>
          <w:kern w:val="0"/>
          <w:sz w:val="23"/>
          <w:szCs w:val="23"/>
        </w:rPr>
        <w:t xml:space="preserve">The objective of this study was to evaluate commercially available immunoassays that target either porcine or human C-peptide for use in horses. </w:t>
      </w:r>
    </w:p>
    <w:p w14:paraId="5A680E94"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Method: </w:t>
      </w:r>
      <w:r w:rsidRPr="006A1E38">
        <w:rPr>
          <w:rFonts w:ascii="Arial" w:hAnsi="Arial" w:cs="Arial"/>
          <w:color w:val="000000"/>
          <w:kern w:val="0"/>
          <w:sz w:val="23"/>
          <w:szCs w:val="23"/>
        </w:rPr>
        <w:t xml:space="preserve">Samples collected from six horses undergoing a meal challenge were used to evaluate assay compatibility with equine serum. Five immunoassays (Eagle Biosciences, Invitrogen, Novus Biologicals, R&amp;D Systems, </w:t>
      </w:r>
      <w:proofErr w:type="spellStart"/>
      <w:r w:rsidRPr="006A1E38">
        <w:rPr>
          <w:rFonts w:ascii="Arial" w:hAnsi="Arial" w:cs="Arial"/>
          <w:color w:val="000000"/>
          <w:kern w:val="0"/>
          <w:sz w:val="23"/>
          <w:szCs w:val="23"/>
        </w:rPr>
        <w:t>RayBiotech</w:t>
      </w:r>
      <w:proofErr w:type="spellEnd"/>
      <w:r w:rsidRPr="006A1E38">
        <w:rPr>
          <w:rFonts w:ascii="Arial" w:hAnsi="Arial" w:cs="Arial"/>
          <w:color w:val="000000"/>
          <w:kern w:val="0"/>
          <w:sz w:val="23"/>
          <w:szCs w:val="23"/>
        </w:rPr>
        <w:t xml:space="preserve">) were evaluated for analytical performance and biological validity based on the expected postprandial increase in C-peptide. </w:t>
      </w:r>
    </w:p>
    <w:p w14:paraId="6504355B" w14:textId="77777777" w:rsidR="006A1E38" w:rsidRPr="006A1E38" w:rsidRDefault="006A1E38" w:rsidP="006A1E38">
      <w:pPr>
        <w:autoSpaceDE w:val="0"/>
        <w:autoSpaceDN w:val="0"/>
        <w:adjustRightInd w:val="0"/>
        <w:spacing w:after="0" w:line="240" w:lineRule="auto"/>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Results: </w:t>
      </w:r>
      <w:r w:rsidRPr="006A1E38">
        <w:rPr>
          <w:rFonts w:ascii="Arial" w:hAnsi="Arial" w:cs="Arial"/>
          <w:color w:val="000000"/>
          <w:kern w:val="0"/>
          <w:sz w:val="23"/>
          <w:szCs w:val="23"/>
        </w:rPr>
        <w:t xml:space="preserve">Two assays lacked sufficient cross-reactivity with equine serum, and two were excluded because of unacceptable assay performance or significant matrix interference. The Eagle Biosciences assay demonstrated the expected post-prandial increase and good </w:t>
      </w:r>
      <w:r w:rsidRPr="006A1E38">
        <w:rPr>
          <w:rFonts w:ascii="Arial" w:hAnsi="Arial" w:cs="Arial"/>
          <w:color w:val="000000"/>
          <w:kern w:val="0"/>
          <w:sz w:val="23"/>
          <w:szCs w:val="23"/>
        </w:rPr>
        <w:lastRenderedPageBreak/>
        <w:t>technical performance (average spike recovery: 96±0.2%, linearity of dilution R</w:t>
      </w:r>
      <w:r w:rsidRPr="006A1E38">
        <w:rPr>
          <w:rFonts w:ascii="Arial" w:hAnsi="Arial" w:cs="Arial"/>
          <w:color w:val="000000"/>
          <w:kern w:val="0"/>
          <w:sz w:val="16"/>
          <w:szCs w:val="16"/>
        </w:rPr>
        <w:t>2</w:t>
      </w:r>
      <w:r w:rsidRPr="006A1E38">
        <w:rPr>
          <w:rFonts w:ascii="Arial" w:hAnsi="Arial" w:cs="Arial"/>
          <w:color w:val="000000"/>
          <w:kern w:val="0"/>
          <w:sz w:val="23"/>
          <w:szCs w:val="23"/>
        </w:rPr>
        <w:t xml:space="preserve">: 0.97) despite proportional adsorption losses upon dilution with PBS. </w:t>
      </w:r>
    </w:p>
    <w:p w14:paraId="4BA8BE00" w14:textId="6D7FCBFB" w:rsidR="00137CE7" w:rsidRDefault="006A1E38" w:rsidP="006A1E38">
      <w:pPr>
        <w:spacing w:line="240" w:lineRule="auto"/>
        <w:contextualSpacing/>
        <w:jc w:val="both"/>
        <w:rPr>
          <w:rFonts w:ascii="Arial" w:hAnsi="Arial" w:cs="Arial"/>
          <w:color w:val="000000"/>
          <w:kern w:val="0"/>
          <w:sz w:val="23"/>
          <w:szCs w:val="23"/>
        </w:rPr>
      </w:pPr>
      <w:r w:rsidRPr="006A1E38">
        <w:rPr>
          <w:rFonts w:ascii="Arial" w:hAnsi="Arial" w:cs="Arial"/>
          <w:b/>
          <w:bCs/>
          <w:i/>
          <w:iCs/>
          <w:color w:val="000000"/>
          <w:kern w:val="0"/>
          <w:sz w:val="23"/>
          <w:szCs w:val="23"/>
        </w:rPr>
        <w:t xml:space="preserve">Conclusion: </w:t>
      </w:r>
      <w:r w:rsidRPr="006A1E38">
        <w:rPr>
          <w:rFonts w:ascii="Arial" w:hAnsi="Arial" w:cs="Arial"/>
          <w:color w:val="000000"/>
          <w:kern w:val="0"/>
          <w:sz w:val="23"/>
          <w:szCs w:val="23"/>
        </w:rPr>
        <w:t>A promising human C-peptide assay was identified for use in horses but requires further optimization before all meal challenge samples can be analyzed.</w:t>
      </w:r>
    </w:p>
    <w:p w14:paraId="410C8E92" w14:textId="77777777" w:rsidR="00CC4F54" w:rsidRPr="00137CE7" w:rsidRDefault="00CC4F54" w:rsidP="006A1E38">
      <w:pPr>
        <w:spacing w:line="240" w:lineRule="auto"/>
        <w:contextualSpacing/>
        <w:jc w:val="both"/>
        <w:rPr>
          <w:rFonts w:ascii="Arial" w:hAnsi="Arial" w:cs="Arial"/>
          <w:color w:val="000000"/>
          <w:kern w:val="0"/>
          <w:sz w:val="22"/>
          <w:szCs w:val="22"/>
        </w:rPr>
      </w:pPr>
    </w:p>
    <w:p w14:paraId="154F8717" w14:textId="00452024" w:rsidR="00137CE7" w:rsidRPr="00137CE7" w:rsidRDefault="00137CE7" w:rsidP="006A1E38">
      <w:pPr>
        <w:spacing w:line="240" w:lineRule="auto"/>
        <w:contextualSpacing/>
        <w:jc w:val="both"/>
        <w:rPr>
          <w:rFonts w:ascii="Arial" w:hAnsi="Arial" w:cs="Arial"/>
          <w:color w:val="000000"/>
          <w:kern w:val="0"/>
          <w:sz w:val="22"/>
          <w:szCs w:val="22"/>
        </w:rPr>
      </w:pPr>
      <w:r w:rsidRPr="00137CE7">
        <w:rPr>
          <w:rFonts w:ascii="Arial" w:hAnsi="Arial" w:cs="Arial"/>
          <w:b/>
          <w:bCs/>
          <w:sz w:val="22"/>
          <w:szCs w:val="22"/>
        </w:rPr>
        <w:t>Funding:</w:t>
      </w:r>
      <w:r w:rsidRPr="00137CE7">
        <w:rPr>
          <w:rFonts w:ascii="Arial" w:hAnsi="Arial" w:cs="Arial"/>
          <w:b/>
          <w:bCs/>
          <w:sz w:val="22"/>
          <w:szCs w:val="22"/>
        </w:rPr>
        <w:t xml:space="preserve"> </w:t>
      </w:r>
      <w:r w:rsidRPr="00137CE7">
        <w:rPr>
          <w:rFonts w:ascii="Arial" w:hAnsi="Arial" w:cs="Arial"/>
          <w:sz w:val="22"/>
          <w:szCs w:val="22"/>
        </w:rPr>
        <w:t>Boehringer Ingelheim</w:t>
      </w:r>
      <w:r w:rsidR="00A7398D">
        <w:rPr>
          <w:rFonts w:ascii="Arial" w:hAnsi="Arial" w:cs="Arial"/>
          <w:sz w:val="22"/>
          <w:szCs w:val="22"/>
        </w:rPr>
        <w:t xml:space="preserve"> </w:t>
      </w:r>
      <w:r w:rsidR="00A7398D">
        <w:rPr>
          <w:rFonts w:ascii="Arial" w:hAnsi="Arial" w:cs="Arial"/>
          <w:color w:val="000000"/>
          <w:kern w:val="0"/>
          <w:sz w:val="22"/>
          <w:szCs w:val="22"/>
        </w:rPr>
        <w:t xml:space="preserve">and </w:t>
      </w:r>
      <w:r w:rsidR="00A7398D" w:rsidRPr="00137CE7">
        <w:rPr>
          <w:rFonts w:ascii="Arial" w:hAnsi="Arial" w:cs="Arial"/>
          <w:color w:val="000000"/>
          <w:kern w:val="0"/>
          <w:sz w:val="22"/>
          <w:szCs w:val="22"/>
        </w:rPr>
        <w:t>MSU CVM Office of Research and Graduate Studies</w:t>
      </w:r>
    </w:p>
    <w:p w14:paraId="5BE69576" w14:textId="77777777" w:rsidR="008F0654" w:rsidRPr="00137CE7" w:rsidRDefault="008F0654" w:rsidP="006A1E38">
      <w:pPr>
        <w:spacing w:line="240" w:lineRule="auto"/>
        <w:contextualSpacing/>
        <w:jc w:val="both"/>
        <w:rPr>
          <w:rFonts w:ascii="Arial" w:hAnsi="Arial" w:cs="Arial"/>
          <w:color w:val="000000"/>
          <w:kern w:val="0"/>
          <w:sz w:val="22"/>
          <w:szCs w:val="22"/>
        </w:rPr>
      </w:pPr>
    </w:p>
    <w:p w14:paraId="29E2307D" w14:textId="77777777" w:rsidR="008F0654" w:rsidRPr="00137CE7" w:rsidRDefault="008F0654" w:rsidP="006A1E38">
      <w:pPr>
        <w:spacing w:line="240" w:lineRule="auto"/>
        <w:contextualSpacing/>
        <w:jc w:val="both"/>
        <w:rPr>
          <w:rFonts w:ascii="Arial" w:hAnsi="Arial" w:cs="Arial"/>
          <w:sz w:val="22"/>
          <w:szCs w:val="22"/>
        </w:rPr>
      </w:pPr>
    </w:p>
    <w:p w14:paraId="656AEDA5" w14:textId="77777777"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ESTABLISHING A NOVEL MICRO-CT AND HISTOPATHOLOGICAL SCORING</w:t>
      </w:r>
    </w:p>
    <w:p w14:paraId="522BC2A9" w14:textId="77777777"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SYSTEM TO ASSESS S. AUREUS VIRULENCE IN DIABETIC FOOT ULCERS</w:t>
      </w:r>
    </w:p>
    <w:p w14:paraId="73D7A090" w14:textId="77777777" w:rsidR="008F0654" w:rsidRPr="00137CE7" w:rsidRDefault="008F0654" w:rsidP="006A1E38">
      <w:pPr>
        <w:spacing w:line="240" w:lineRule="auto"/>
        <w:contextualSpacing/>
        <w:jc w:val="both"/>
        <w:rPr>
          <w:rFonts w:ascii="Arial" w:hAnsi="Arial" w:cs="Arial"/>
          <w:sz w:val="22"/>
          <w:szCs w:val="22"/>
        </w:rPr>
      </w:pPr>
    </w:p>
    <w:p w14:paraId="3237A5FB"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sz w:val="22"/>
          <w:szCs w:val="22"/>
        </w:rPr>
        <w:t>Authors:</w:t>
      </w:r>
      <w:r w:rsidRPr="00137CE7">
        <w:rPr>
          <w:rFonts w:ascii="Arial" w:hAnsi="Arial" w:cs="Arial"/>
          <w:sz w:val="22"/>
          <w:szCs w:val="22"/>
        </w:rPr>
        <w:t xml:space="preserve"> </w:t>
      </w:r>
      <w:r w:rsidRPr="00137CE7">
        <w:rPr>
          <w:rFonts w:ascii="Arial" w:hAnsi="Arial" w:cs="Arial"/>
          <w:b/>
          <w:bCs/>
          <w:sz w:val="22"/>
          <w:szCs w:val="22"/>
        </w:rPr>
        <w:t>Denton I</w:t>
      </w:r>
      <w:r w:rsidRPr="00137CE7">
        <w:rPr>
          <w:rFonts w:ascii="Arial" w:hAnsi="Arial" w:cs="Arial"/>
          <w:sz w:val="22"/>
          <w:szCs w:val="22"/>
        </w:rPr>
        <w:t>.</w:t>
      </w:r>
      <w:r w:rsidRPr="00137CE7">
        <w:rPr>
          <w:rFonts w:ascii="Arial" w:hAnsi="Arial" w:cs="Arial"/>
          <w:sz w:val="22"/>
          <w:szCs w:val="22"/>
          <w:vertAlign w:val="superscript"/>
        </w:rPr>
        <w:t>1</w:t>
      </w:r>
      <w:r w:rsidRPr="00137CE7">
        <w:rPr>
          <w:rFonts w:ascii="Arial" w:hAnsi="Arial" w:cs="Arial"/>
          <w:sz w:val="22"/>
          <w:szCs w:val="22"/>
        </w:rPr>
        <w:t xml:space="preserve">, </w:t>
      </w:r>
      <w:r w:rsidRPr="00137CE7">
        <w:rPr>
          <w:rFonts w:ascii="Arial" w:hAnsi="Arial" w:cs="Arial"/>
          <w:i/>
          <w:iCs/>
          <w:sz w:val="22"/>
          <w:szCs w:val="22"/>
        </w:rPr>
        <w:t>Lee A</w:t>
      </w:r>
      <w:r w:rsidRPr="00137CE7">
        <w:rPr>
          <w:rFonts w:ascii="Arial" w:hAnsi="Arial" w:cs="Arial"/>
          <w:sz w:val="22"/>
          <w:szCs w:val="22"/>
        </w:rPr>
        <w:t>.</w:t>
      </w:r>
      <w:r w:rsidRPr="00137CE7">
        <w:rPr>
          <w:rFonts w:ascii="Arial" w:hAnsi="Arial" w:cs="Arial"/>
          <w:sz w:val="22"/>
          <w:szCs w:val="22"/>
          <w:vertAlign w:val="superscript"/>
        </w:rPr>
        <w:t>2</w:t>
      </w:r>
      <w:r w:rsidRPr="00137CE7">
        <w:rPr>
          <w:rFonts w:ascii="Arial" w:hAnsi="Arial" w:cs="Arial"/>
          <w:sz w:val="22"/>
          <w:szCs w:val="22"/>
        </w:rPr>
        <w:t>, Olivier A.</w:t>
      </w:r>
      <w:r w:rsidRPr="00137CE7">
        <w:rPr>
          <w:rFonts w:ascii="Arial" w:hAnsi="Arial" w:cs="Arial"/>
          <w:sz w:val="22"/>
          <w:szCs w:val="22"/>
          <w:vertAlign w:val="superscript"/>
        </w:rPr>
        <w:t>3</w:t>
      </w:r>
      <w:r w:rsidRPr="00137CE7">
        <w:rPr>
          <w:rFonts w:ascii="Arial" w:hAnsi="Arial" w:cs="Arial"/>
          <w:sz w:val="22"/>
          <w:szCs w:val="22"/>
        </w:rPr>
        <w:t xml:space="preserve">, </w:t>
      </w:r>
      <w:r w:rsidRPr="00137CE7">
        <w:rPr>
          <w:rFonts w:ascii="Arial" w:hAnsi="Arial" w:cs="Arial"/>
          <w:i/>
          <w:iCs/>
          <w:sz w:val="22"/>
          <w:szCs w:val="22"/>
        </w:rPr>
        <w:t>Priddy L</w:t>
      </w:r>
      <w:r w:rsidRPr="00137CE7">
        <w:rPr>
          <w:rFonts w:ascii="Arial" w:hAnsi="Arial" w:cs="Arial"/>
          <w:sz w:val="22"/>
          <w:szCs w:val="22"/>
        </w:rPr>
        <w:t>.</w:t>
      </w:r>
      <w:r w:rsidRPr="00137CE7">
        <w:rPr>
          <w:rFonts w:ascii="Arial" w:hAnsi="Arial" w:cs="Arial"/>
          <w:sz w:val="22"/>
          <w:szCs w:val="22"/>
          <w:vertAlign w:val="superscript"/>
        </w:rPr>
        <w:t>4</w:t>
      </w:r>
      <w:r w:rsidRPr="00137CE7">
        <w:rPr>
          <w:rFonts w:ascii="Arial" w:hAnsi="Arial" w:cs="Arial"/>
          <w:sz w:val="22"/>
          <w:szCs w:val="22"/>
        </w:rPr>
        <w:t>, Park J.Y.</w:t>
      </w:r>
      <w:r w:rsidRPr="00137CE7">
        <w:rPr>
          <w:rFonts w:ascii="Arial" w:hAnsi="Arial" w:cs="Arial"/>
          <w:sz w:val="22"/>
          <w:szCs w:val="22"/>
          <w:vertAlign w:val="superscript"/>
        </w:rPr>
        <w:t>1</w:t>
      </w:r>
      <w:r w:rsidRPr="00137CE7">
        <w:rPr>
          <w:rFonts w:ascii="Arial" w:hAnsi="Arial" w:cs="Arial"/>
          <w:sz w:val="22"/>
          <w:szCs w:val="22"/>
        </w:rPr>
        <w:t xml:space="preserve">, </w:t>
      </w:r>
      <w:r w:rsidRPr="00137CE7">
        <w:rPr>
          <w:rFonts w:ascii="Arial" w:hAnsi="Arial" w:cs="Arial"/>
          <w:i/>
          <w:iCs/>
          <w:sz w:val="22"/>
          <w:szCs w:val="22"/>
        </w:rPr>
        <w:t>Seo K.S</w:t>
      </w:r>
      <w:r w:rsidRPr="00137CE7">
        <w:rPr>
          <w:rFonts w:ascii="Arial" w:hAnsi="Arial" w:cs="Arial"/>
          <w:sz w:val="22"/>
          <w:szCs w:val="22"/>
        </w:rPr>
        <w:t>.</w:t>
      </w:r>
      <w:r w:rsidRPr="00137CE7">
        <w:rPr>
          <w:rFonts w:ascii="Arial" w:hAnsi="Arial" w:cs="Arial"/>
          <w:sz w:val="22"/>
          <w:szCs w:val="22"/>
          <w:vertAlign w:val="superscript"/>
        </w:rPr>
        <w:t>1</w:t>
      </w:r>
    </w:p>
    <w:p w14:paraId="1BE756CB"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sz w:val="22"/>
          <w:szCs w:val="22"/>
        </w:rPr>
        <w:t>Affiliations:</w:t>
      </w:r>
      <w:r w:rsidRPr="00137CE7">
        <w:rPr>
          <w:rFonts w:ascii="Arial" w:hAnsi="Arial" w:cs="Arial"/>
          <w:sz w:val="22"/>
          <w:szCs w:val="22"/>
        </w:rPr>
        <w:t xml:space="preserve"> </w:t>
      </w:r>
      <w:r w:rsidRPr="00137CE7">
        <w:rPr>
          <w:rFonts w:ascii="Arial" w:hAnsi="Arial" w:cs="Arial"/>
          <w:sz w:val="22"/>
          <w:szCs w:val="22"/>
          <w:vertAlign w:val="superscript"/>
        </w:rPr>
        <w:t>1</w:t>
      </w:r>
      <w:r w:rsidRPr="00137CE7">
        <w:rPr>
          <w:rFonts w:ascii="Arial" w:hAnsi="Arial" w:cs="Arial"/>
          <w:sz w:val="22"/>
          <w:szCs w:val="22"/>
        </w:rPr>
        <w:t>Department of Comparative Biomedical Sciences, College of Veterinary</w:t>
      </w:r>
    </w:p>
    <w:p w14:paraId="14F95D99"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sz w:val="22"/>
          <w:szCs w:val="22"/>
        </w:rPr>
        <w:t xml:space="preserve">Medicine, Mississippi State University, Starkville, MS; </w:t>
      </w:r>
      <w:r w:rsidRPr="00137CE7">
        <w:rPr>
          <w:rFonts w:ascii="Arial" w:hAnsi="Arial" w:cs="Arial"/>
          <w:sz w:val="22"/>
          <w:szCs w:val="22"/>
          <w:vertAlign w:val="superscript"/>
        </w:rPr>
        <w:t>2</w:t>
      </w:r>
      <w:r w:rsidRPr="00137CE7">
        <w:rPr>
          <w:rFonts w:ascii="Arial" w:hAnsi="Arial" w:cs="Arial"/>
          <w:sz w:val="22"/>
          <w:szCs w:val="22"/>
        </w:rPr>
        <w:t xml:space="preserve">Department of Clinical Sciences, College of Veterinary Medicine, Mississippi State University, Starkville, MS; </w:t>
      </w:r>
      <w:r w:rsidRPr="00137CE7">
        <w:rPr>
          <w:rFonts w:ascii="Arial" w:hAnsi="Arial" w:cs="Arial"/>
          <w:sz w:val="22"/>
          <w:szCs w:val="22"/>
          <w:vertAlign w:val="superscript"/>
        </w:rPr>
        <w:t>3</w:t>
      </w:r>
      <w:r w:rsidRPr="00137CE7">
        <w:rPr>
          <w:rFonts w:ascii="Arial" w:hAnsi="Arial" w:cs="Arial"/>
          <w:sz w:val="22"/>
          <w:szCs w:val="22"/>
        </w:rPr>
        <w:t xml:space="preserve">Department of Pathobiology and Population Medicine, College of Veterinary Medicine, Mississippi State University, Starkville, MS; </w:t>
      </w:r>
      <w:r w:rsidRPr="00137CE7">
        <w:rPr>
          <w:rFonts w:ascii="Arial" w:hAnsi="Arial" w:cs="Arial"/>
          <w:sz w:val="22"/>
          <w:szCs w:val="22"/>
          <w:vertAlign w:val="superscript"/>
        </w:rPr>
        <w:t>4</w:t>
      </w:r>
      <w:r w:rsidRPr="00137CE7">
        <w:rPr>
          <w:rFonts w:ascii="Arial" w:hAnsi="Arial" w:cs="Arial"/>
          <w:sz w:val="22"/>
          <w:szCs w:val="22"/>
        </w:rPr>
        <w:t>Department of Agriculture and Biological Engineering, Mississippi State</w:t>
      </w:r>
    </w:p>
    <w:p w14:paraId="3D8884BC"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sz w:val="22"/>
          <w:szCs w:val="22"/>
        </w:rPr>
        <w:t>University, Starkville, MS</w:t>
      </w:r>
    </w:p>
    <w:p w14:paraId="3958E515" w14:textId="77777777" w:rsidR="008F0654" w:rsidRPr="00137CE7" w:rsidRDefault="008F0654" w:rsidP="006A1E38">
      <w:pPr>
        <w:spacing w:line="240" w:lineRule="auto"/>
        <w:contextualSpacing/>
        <w:jc w:val="both"/>
        <w:rPr>
          <w:rFonts w:ascii="Arial" w:hAnsi="Arial" w:cs="Arial"/>
          <w:b/>
          <w:bCs/>
          <w:sz w:val="22"/>
          <w:szCs w:val="22"/>
        </w:rPr>
      </w:pPr>
    </w:p>
    <w:p w14:paraId="15F03396" w14:textId="1D85C8F9"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Diabetic foot ulcers (DFUs) represent a severe complication of diabetes</w:t>
      </w:r>
      <w:r w:rsidRPr="00137CE7">
        <w:rPr>
          <w:rFonts w:ascii="Arial" w:hAnsi="Arial" w:cs="Arial"/>
          <w:sz w:val="22"/>
          <w:szCs w:val="22"/>
        </w:rPr>
        <w:t xml:space="preserve"> </w:t>
      </w:r>
      <w:r w:rsidRPr="00137CE7">
        <w:rPr>
          <w:rFonts w:ascii="Arial" w:hAnsi="Arial" w:cs="Arial"/>
          <w:sz w:val="22"/>
          <w:szCs w:val="22"/>
        </w:rPr>
        <w:t>mellitus, frequently exacerbated by infection with Staphylococcus aureus. Infections</w:t>
      </w:r>
      <w:r w:rsidRPr="00137CE7">
        <w:rPr>
          <w:rFonts w:ascii="Arial" w:hAnsi="Arial" w:cs="Arial"/>
          <w:sz w:val="22"/>
          <w:szCs w:val="22"/>
        </w:rPr>
        <w:t xml:space="preserve"> </w:t>
      </w:r>
      <w:r w:rsidRPr="00137CE7">
        <w:rPr>
          <w:rFonts w:ascii="Arial" w:hAnsi="Arial" w:cs="Arial"/>
          <w:sz w:val="22"/>
          <w:szCs w:val="22"/>
        </w:rPr>
        <w:t>frequently progress to osteomyelitis, lower limb amputation, and increased mortality.</w:t>
      </w:r>
      <w:r w:rsidRPr="00137CE7">
        <w:rPr>
          <w:rFonts w:ascii="Arial" w:hAnsi="Arial" w:cs="Arial"/>
          <w:sz w:val="22"/>
          <w:szCs w:val="22"/>
        </w:rPr>
        <w:t xml:space="preserve"> </w:t>
      </w:r>
      <w:r w:rsidRPr="00137CE7">
        <w:rPr>
          <w:rFonts w:ascii="Arial" w:hAnsi="Arial" w:cs="Arial"/>
          <w:sz w:val="22"/>
          <w:szCs w:val="22"/>
        </w:rPr>
        <w:t>However, modern lesion scoring systems and animal models lack recapitulation of DFU-associated osteomyelitis progression and reproducibility.</w:t>
      </w:r>
    </w:p>
    <w:p w14:paraId="4BB8AFE2" w14:textId="0942694D"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We hypothesized that alternating S. aureus strains and inoculum will</w:t>
      </w:r>
      <w:r w:rsidRPr="00137CE7">
        <w:rPr>
          <w:rFonts w:ascii="Arial" w:hAnsi="Arial" w:cs="Arial"/>
          <w:sz w:val="22"/>
          <w:szCs w:val="22"/>
        </w:rPr>
        <w:t xml:space="preserve"> </w:t>
      </w:r>
      <w:r w:rsidRPr="00137CE7">
        <w:rPr>
          <w:rFonts w:ascii="Arial" w:hAnsi="Arial" w:cs="Arial"/>
          <w:sz w:val="22"/>
          <w:szCs w:val="22"/>
        </w:rPr>
        <w:t>produce a DFU infection progression model that can be objectively classified using</w:t>
      </w:r>
      <w:r w:rsidRPr="00137CE7">
        <w:rPr>
          <w:rFonts w:ascii="Arial" w:hAnsi="Arial" w:cs="Arial"/>
          <w:sz w:val="22"/>
          <w:szCs w:val="22"/>
        </w:rPr>
        <w:t xml:space="preserve"> </w:t>
      </w:r>
      <w:r w:rsidRPr="00137CE7">
        <w:rPr>
          <w:rFonts w:ascii="Arial" w:hAnsi="Arial" w:cs="Arial"/>
          <w:sz w:val="22"/>
          <w:szCs w:val="22"/>
        </w:rPr>
        <w:t>integrated microcomputed tomography (micro-CT) and histopathologic analyses.</w:t>
      </w:r>
    </w:p>
    <w:p w14:paraId="4B92CE2D" w14:textId="2EEBAFBA"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To produce a reproducible murine DFU model that recapitulates human</w:t>
      </w:r>
      <w:r w:rsidRPr="00137CE7">
        <w:rPr>
          <w:rFonts w:ascii="Arial" w:hAnsi="Arial" w:cs="Arial"/>
          <w:sz w:val="22"/>
          <w:szCs w:val="22"/>
        </w:rPr>
        <w:t xml:space="preserve"> </w:t>
      </w:r>
      <w:r w:rsidRPr="00137CE7">
        <w:rPr>
          <w:rFonts w:ascii="Arial" w:hAnsi="Arial" w:cs="Arial"/>
          <w:sz w:val="22"/>
          <w:szCs w:val="22"/>
        </w:rPr>
        <w:t>DFU to develop the foundation for a novel multimodal lesion scoring system.</w:t>
      </w:r>
    </w:p>
    <w:p w14:paraId="642A93A3" w14:textId="603767C5"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Thirty-six male diabetic TALLYHO/JngJ mice were inoculated in the left hind</w:t>
      </w:r>
      <w:r w:rsidRPr="00137CE7">
        <w:rPr>
          <w:rFonts w:ascii="Arial" w:hAnsi="Arial" w:cs="Arial"/>
          <w:sz w:val="22"/>
          <w:szCs w:val="22"/>
        </w:rPr>
        <w:t xml:space="preserve"> </w:t>
      </w:r>
      <w:r w:rsidRPr="00137CE7">
        <w:rPr>
          <w:rFonts w:ascii="Arial" w:hAnsi="Arial" w:cs="Arial"/>
          <w:sz w:val="22"/>
          <w:szCs w:val="22"/>
        </w:rPr>
        <w:t xml:space="preserve">foot with virulent LAC/USA300 or attenuated </w:t>
      </w:r>
      <w:proofErr w:type="spellStart"/>
      <w:r w:rsidRPr="00137CE7">
        <w:rPr>
          <w:rFonts w:ascii="Arial" w:hAnsi="Arial" w:cs="Arial"/>
          <w:sz w:val="22"/>
          <w:szCs w:val="22"/>
        </w:rPr>
        <w:t>ΔSaeRS</w:t>
      </w:r>
      <w:proofErr w:type="spellEnd"/>
      <w:r w:rsidRPr="00137CE7">
        <w:rPr>
          <w:rFonts w:ascii="Arial" w:hAnsi="Arial" w:cs="Arial"/>
          <w:sz w:val="22"/>
          <w:szCs w:val="22"/>
        </w:rPr>
        <w:t xml:space="preserve"> S. aureus strains at doses of 105,</w:t>
      </w:r>
      <w:r w:rsidRPr="00137CE7">
        <w:rPr>
          <w:rFonts w:ascii="Arial" w:hAnsi="Arial" w:cs="Arial"/>
          <w:sz w:val="22"/>
          <w:szCs w:val="22"/>
        </w:rPr>
        <w:t xml:space="preserve"> </w:t>
      </w:r>
      <w:r w:rsidRPr="00137CE7">
        <w:rPr>
          <w:rFonts w:ascii="Arial" w:hAnsi="Arial" w:cs="Arial"/>
          <w:sz w:val="22"/>
          <w:szCs w:val="22"/>
        </w:rPr>
        <w:t>104, or 103 CFU and monitored for 7 days. Bacterial burden, micro-CT, and</w:t>
      </w:r>
      <w:r w:rsidRPr="00137CE7">
        <w:rPr>
          <w:rFonts w:ascii="Arial" w:hAnsi="Arial" w:cs="Arial"/>
          <w:sz w:val="22"/>
          <w:szCs w:val="22"/>
        </w:rPr>
        <w:t xml:space="preserve"> </w:t>
      </w:r>
      <w:r w:rsidRPr="00137CE7">
        <w:rPr>
          <w:rFonts w:ascii="Arial" w:hAnsi="Arial" w:cs="Arial"/>
          <w:sz w:val="22"/>
          <w:szCs w:val="22"/>
        </w:rPr>
        <w:t>histopathologic analyses were performed to assess bone destruction and proliferation,</w:t>
      </w:r>
      <w:r w:rsidRPr="00137CE7">
        <w:rPr>
          <w:rFonts w:ascii="Arial" w:hAnsi="Arial" w:cs="Arial"/>
          <w:sz w:val="22"/>
          <w:szCs w:val="22"/>
        </w:rPr>
        <w:t xml:space="preserve"> </w:t>
      </w:r>
      <w:r w:rsidRPr="00137CE7">
        <w:rPr>
          <w:rFonts w:ascii="Arial" w:hAnsi="Arial" w:cs="Arial"/>
          <w:sz w:val="22"/>
          <w:szCs w:val="22"/>
        </w:rPr>
        <w:t>infection severity, and soft tissue abnormalities.</w:t>
      </w:r>
    </w:p>
    <w:p w14:paraId="78A12522" w14:textId="22ABB0A8"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Infection of LAC/USA300 S. aureus at 105 produced a more extensive</w:t>
      </w:r>
      <w:r w:rsidRPr="00137CE7">
        <w:rPr>
          <w:rFonts w:ascii="Arial" w:hAnsi="Arial" w:cs="Arial"/>
          <w:sz w:val="22"/>
          <w:szCs w:val="22"/>
        </w:rPr>
        <w:t xml:space="preserve"> </w:t>
      </w:r>
      <w:r w:rsidRPr="00137CE7">
        <w:rPr>
          <w:rFonts w:ascii="Arial" w:hAnsi="Arial" w:cs="Arial"/>
          <w:sz w:val="22"/>
          <w:szCs w:val="22"/>
        </w:rPr>
        <w:t>bacterial burden, inflammatory infiltration, soft tissue swelling, and periosteal bone</w:t>
      </w:r>
      <w:r w:rsidRPr="00137CE7">
        <w:rPr>
          <w:rFonts w:ascii="Arial" w:hAnsi="Arial" w:cs="Arial"/>
          <w:sz w:val="22"/>
          <w:szCs w:val="22"/>
        </w:rPr>
        <w:t xml:space="preserve"> </w:t>
      </w:r>
      <w:r w:rsidRPr="00137CE7">
        <w:rPr>
          <w:rFonts w:ascii="Arial" w:hAnsi="Arial" w:cs="Arial"/>
          <w:sz w:val="22"/>
          <w:szCs w:val="22"/>
        </w:rPr>
        <w:t xml:space="preserve">proliferation than the </w:t>
      </w:r>
      <w:proofErr w:type="spellStart"/>
      <w:r w:rsidRPr="00137CE7">
        <w:rPr>
          <w:rFonts w:ascii="Arial" w:hAnsi="Arial" w:cs="Arial"/>
          <w:sz w:val="22"/>
          <w:szCs w:val="22"/>
        </w:rPr>
        <w:t>ΔSaeRS</w:t>
      </w:r>
      <w:proofErr w:type="spellEnd"/>
      <w:r w:rsidRPr="00137CE7">
        <w:rPr>
          <w:rFonts w:ascii="Arial" w:hAnsi="Arial" w:cs="Arial"/>
          <w:sz w:val="22"/>
          <w:szCs w:val="22"/>
        </w:rPr>
        <w:t xml:space="preserve"> strain. Micro-CT detailed reactive bone changes with soft</w:t>
      </w:r>
      <w:r w:rsidRPr="00137CE7">
        <w:rPr>
          <w:rFonts w:ascii="Arial" w:hAnsi="Arial" w:cs="Arial"/>
          <w:sz w:val="22"/>
          <w:szCs w:val="22"/>
        </w:rPr>
        <w:t xml:space="preserve"> </w:t>
      </w:r>
      <w:r w:rsidRPr="00137CE7">
        <w:rPr>
          <w:rFonts w:ascii="Arial" w:hAnsi="Arial" w:cs="Arial"/>
          <w:sz w:val="22"/>
          <w:szCs w:val="22"/>
        </w:rPr>
        <w:t>tissue swelling which were corroborated with histopathologic findings of inflammation,</w:t>
      </w:r>
      <w:r w:rsidRPr="00137CE7">
        <w:rPr>
          <w:rFonts w:ascii="Arial" w:hAnsi="Arial" w:cs="Arial"/>
          <w:sz w:val="22"/>
          <w:szCs w:val="22"/>
        </w:rPr>
        <w:t xml:space="preserve"> </w:t>
      </w:r>
      <w:r w:rsidRPr="00137CE7">
        <w:rPr>
          <w:rFonts w:ascii="Arial" w:hAnsi="Arial" w:cs="Arial"/>
          <w:sz w:val="22"/>
          <w:szCs w:val="22"/>
        </w:rPr>
        <w:t>necrosis, and periosteal proliferation. These findings supported objective microbiologic,</w:t>
      </w:r>
      <w:r w:rsidRPr="00137CE7">
        <w:rPr>
          <w:rFonts w:ascii="Arial" w:hAnsi="Arial" w:cs="Arial"/>
          <w:sz w:val="22"/>
          <w:szCs w:val="22"/>
        </w:rPr>
        <w:t xml:space="preserve"> </w:t>
      </w:r>
      <w:r w:rsidRPr="00137CE7">
        <w:rPr>
          <w:rFonts w:ascii="Arial" w:hAnsi="Arial" w:cs="Arial"/>
          <w:sz w:val="22"/>
          <w:szCs w:val="22"/>
        </w:rPr>
        <w:t>micro-CT, and histopathologic parameters that differentiate infection severity.</w:t>
      </w:r>
    </w:p>
    <w:p w14:paraId="6A60EF66" w14:textId="14B6FD8E"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This study establishes a reproducible murine DFU model and provides</w:t>
      </w:r>
      <w:r w:rsidRPr="00137CE7">
        <w:rPr>
          <w:rFonts w:ascii="Arial" w:hAnsi="Arial" w:cs="Arial"/>
          <w:sz w:val="22"/>
          <w:szCs w:val="22"/>
        </w:rPr>
        <w:t xml:space="preserve"> </w:t>
      </w:r>
      <w:r w:rsidRPr="00137CE7">
        <w:rPr>
          <w:rFonts w:ascii="Arial" w:hAnsi="Arial" w:cs="Arial"/>
          <w:sz w:val="22"/>
          <w:szCs w:val="22"/>
        </w:rPr>
        <w:t>groundwork for future standardized DFU severity assessment. Integration of</w:t>
      </w:r>
      <w:r w:rsidRPr="00137CE7">
        <w:rPr>
          <w:rFonts w:ascii="Arial" w:hAnsi="Arial" w:cs="Arial"/>
          <w:sz w:val="22"/>
          <w:szCs w:val="22"/>
        </w:rPr>
        <w:t xml:space="preserve"> </w:t>
      </w:r>
      <w:r w:rsidRPr="00137CE7">
        <w:rPr>
          <w:rFonts w:ascii="Arial" w:hAnsi="Arial" w:cs="Arial"/>
          <w:sz w:val="22"/>
          <w:szCs w:val="22"/>
        </w:rPr>
        <w:t>microbiologic, micro-CT, and histopathologic analyses supports the development of a</w:t>
      </w:r>
      <w:r w:rsidRPr="00137CE7">
        <w:rPr>
          <w:rFonts w:ascii="Arial" w:hAnsi="Arial" w:cs="Arial"/>
          <w:sz w:val="22"/>
          <w:szCs w:val="22"/>
        </w:rPr>
        <w:t xml:space="preserve"> </w:t>
      </w:r>
      <w:r w:rsidRPr="00137CE7">
        <w:rPr>
          <w:rFonts w:ascii="Arial" w:hAnsi="Arial" w:cs="Arial"/>
          <w:sz w:val="22"/>
          <w:szCs w:val="22"/>
        </w:rPr>
        <w:t>novel DFU lesion scoring system.</w:t>
      </w:r>
    </w:p>
    <w:p w14:paraId="045E2D25" w14:textId="77777777" w:rsidR="008F0654" w:rsidRPr="00137CE7" w:rsidRDefault="008F0654" w:rsidP="006A1E38">
      <w:pPr>
        <w:spacing w:line="240" w:lineRule="auto"/>
        <w:contextualSpacing/>
        <w:jc w:val="both"/>
        <w:rPr>
          <w:rFonts w:ascii="Arial" w:hAnsi="Arial" w:cs="Arial"/>
          <w:sz w:val="22"/>
          <w:szCs w:val="22"/>
        </w:rPr>
      </w:pPr>
    </w:p>
    <w:p w14:paraId="43950354" w14:textId="416F9723"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Funding:</w:t>
      </w:r>
      <w:r w:rsidR="00222F38" w:rsidRPr="00137CE7">
        <w:rPr>
          <w:rFonts w:ascii="Arial" w:hAnsi="Arial" w:cs="Arial"/>
          <w:color w:val="000000"/>
          <w:kern w:val="0"/>
          <w:sz w:val="22"/>
          <w:szCs w:val="22"/>
        </w:rPr>
        <w:t xml:space="preserve"> </w:t>
      </w:r>
      <w:r w:rsidR="00222F38" w:rsidRPr="00137CE7">
        <w:rPr>
          <w:rFonts w:ascii="Arial" w:hAnsi="Arial" w:cs="Arial"/>
          <w:color w:val="000000"/>
          <w:kern w:val="0"/>
          <w:sz w:val="22"/>
          <w:szCs w:val="22"/>
        </w:rPr>
        <w:t>National Institutes of Health T35OD010432</w:t>
      </w:r>
      <w:r w:rsidR="00A7398D">
        <w:rPr>
          <w:rFonts w:ascii="Arial" w:hAnsi="Arial" w:cs="Arial"/>
          <w:color w:val="000000"/>
          <w:kern w:val="0"/>
          <w:sz w:val="22"/>
          <w:szCs w:val="22"/>
        </w:rPr>
        <w:t xml:space="preserve"> </w:t>
      </w:r>
      <w:r w:rsidR="00A7398D">
        <w:rPr>
          <w:rFonts w:ascii="Arial" w:hAnsi="Arial" w:cs="Arial"/>
          <w:color w:val="000000"/>
          <w:kern w:val="0"/>
          <w:sz w:val="22"/>
          <w:szCs w:val="22"/>
        </w:rPr>
        <w:t xml:space="preserve">and </w:t>
      </w:r>
      <w:r w:rsidR="00A7398D" w:rsidRPr="00137CE7">
        <w:rPr>
          <w:rFonts w:ascii="Arial" w:hAnsi="Arial" w:cs="Arial"/>
          <w:color w:val="000000"/>
          <w:kern w:val="0"/>
          <w:sz w:val="22"/>
          <w:szCs w:val="22"/>
        </w:rPr>
        <w:t>MSU CVM Office of Research and Graduate Studies</w:t>
      </w:r>
    </w:p>
    <w:p w14:paraId="0C1F5A91" w14:textId="77777777" w:rsidR="008F0654" w:rsidRPr="00137CE7" w:rsidRDefault="008F0654" w:rsidP="006A1E38">
      <w:pPr>
        <w:spacing w:line="240" w:lineRule="auto"/>
        <w:contextualSpacing/>
        <w:jc w:val="both"/>
        <w:rPr>
          <w:rFonts w:ascii="Arial" w:hAnsi="Arial" w:cs="Arial"/>
          <w:sz w:val="22"/>
          <w:szCs w:val="22"/>
        </w:rPr>
      </w:pPr>
    </w:p>
    <w:p w14:paraId="5B1804CB" w14:textId="77777777" w:rsidR="005B185C" w:rsidRPr="00137CE7" w:rsidRDefault="005B185C" w:rsidP="006A1E38">
      <w:pPr>
        <w:spacing w:line="240" w:lineRule="auto"/>
        <w:contextualSpacing/>
        <w:jc w:val="both"/>
        <w:rPr>
          <w:rFonts w:ascii="Arial" w:hAnsi="Arial" w:cs="Arial"/>
          <w:b/>
          <w:bCs/>
          <w:sz w:val="22"/>
          <w:szCs w:val="22"/>
        </w:rPr>
      </w:pPr>
    </w:p>
    <w:p w14:paraId="7DF544C6" w14:textId="3476E1E7" w:rsidR="00DE0C1D" w:rsidRPr="00137CE7" w:rsidRDefault="00DE0C1D"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00137CE7" w:rsidRPr="00137CE7">
        <w:rPr>
          <w:rFonts w:ascii="Arial" w:hAnsi="Arial" w:cs="Arial"/>
          <w:b/>
          <w:bCs/>
          <w:sz w:val="22"/>
          <w:szCs w:val="22"/>
        </w:rPr>
        <w:t xml:space="preserve"> </w:t>
      </w:r>
      <w:r w:rsidRPr="00137CE7">
        <w:rPr>
          <w:rFonts w:ascii="Arial" w:hAnsi="Arial" w:cs="Arial"/>
          <w:b/>
          <w:bCs/>
          <w:sz w:val="22"/>
          <w:szCs w:val="22"/>
        </w:rPr>
        <w:t>EVALUATING SURVIVABILITY OF FOWLER’S TOAD (ANAXYRUS FOWLERI) EMBRYO DEVELOPMENT FOLLOWING COLD STORAGE</w:t>
      </w:r>
    </w:p>
    <w:p w14:paraId="455C55CB" w14:textId="7777777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sz w:val="22"/>
          <w:szCs w:val="22"/>
        </w:rPr>
        <w:lastRenderedPageBreak/>
        <w:t>Authors:</w:t>
      </w:r>
      <w:r w:rsidRPr="00137CE7">
        <w:rPr>
          <w:rFonts w:ascii="Arial" w:hAnsi="Arial" w:cs="Arial"/>
          <w:sz w:val="22"/>
          <w:szCs w:val="22"/>
        </w:rPr>
        <w:t xml:space="preserve"> </w:t>
      </w:r>
      <w:r w:rsidRPr="00137CE7">
        <w:rPr>
          <w:rFonts w:ascii="Arial" w:hAnsi="Arial" w:cs="Arial"/>
          <w:b/>
          <w:bCs/>
          <w:sz w:val="22"/>
          <w:szCs w:val="22"/>
        </w:rPr>
        <w:t>Jane A. Dill</w:t>
      </w:r>
      <w:r w:rsidRPr="00137CE7">
        <w:rPr>
          <w:rFonts w:ascii="Arial" w:hAnsi="Arial" w:cs="Arial"/>
          <w:b/>
          <w:bCs/>
          <w:sz w:val="22"/>
          <w:szCs w:val="22"/>
          <w:vertAlign w:val="superscript"/>
        </w:rPr>
        <w:t>1</w:t>
      </w:r>
      <w:r w:rsidRPr="00137CE7">
        <w:rPr>
          <w:rFonts w:ascii="Arial" w:hAnsi="Arial" w:cs="Arial"/>
          <w:sz w:val="22"/>
          <w:szCs w:val="22"/>
          <w:vertAlign w:val="superscript"/>
        </w:rPr>
        <w:t xml:space="preserve">,2*, </w:t>
      </w:r>
      <w:r w:rsidRPr="00137CE7">
        <w:rPr>
          <w:rFonts w:ascii="Arial" w:hAnsi="Arial" w:cs="Arial"/>
          <w:i/>
          <w:iCs/>
          <w:sz w:val="22"/>
          <w:szCs w:val="22"/>
        </w:rPr>
        <w:t>Darcie Sidelinger</w:t>
      </w:r>
      <w:r w:rsidRPr="00137CE7">
        <w:rPr>
          <w:rFonts w:ascii="Arial" w:hAnsi="Arial" w:cs="Arial"/>
          <w:i/>
          <w:iCs/>
          <w:sz w:val="22"/>
          <w:szCs w:val="22"/>
          <w:vertAlign w:val="superscript"/>
        </w:rPr>
        <w:t>2</w:t>
      </w:r>
      <w:r w:rsidRPr="00137CE7">
        <w:rPr>
          <w:rFonts w:ascii="Arial" w:hAnsi="Arial" w:cs="Arial"/>
          <w:sz w:val="22"/>
          <w:szCs w:val="22"/>
        </w:rPr>
        <w:t>, Michelle K. Roy</w:t>
      </w:r>
      <w:r w:rsidRPr="00137CE7">
        <w:rPr>
          <w:rFonts w:ascii="Arial" w:hAnsi="Arial" w:cs="Arial"/>
          <w:sz w:val="22"/>
          <w:szCs w:val="22"/>
          <w:vertAlign w:val="superscript"/>
        </w:rPr>
        <w:t>3</w:t>
      </w:r>
      <w:r w:rsidRPr="00137CE7">
        <w:rPr>
          <w:rFonts w:ascii="Arial" w:hAnsi="Arial" w:cs="Arial"/>
          <w:sz w:val="22"/>
          <w:szCs w:val="22"/>
        </w:rPr>
        <w:t>, Renato E. Naranjo</w:t>
      </w:r>
      <w:r w:rsidRPr="00137CE7">
        <w:rPr>
          <w:rFonts w:ascii="Arial" w:hAnsi="Arial" w:cs="Arial"/>
          <w:sz w:val="22"/>
          <w:szCs w:val="22"/>
          <w:vertAlign w:val="superscript"/>
        </w:rPr>
        <w:t>3</w:t>
      </w:r>
      <w:r w:rsidRPr="00137CE7">
        <w:rPr>
          <w:rFonts w:ascii="Arial" w:hAnsi="Arial" w:cs="Arial"/>
          <w:sz w:val="22"/>
          <w:szCs w:val="22"/>
        </w:rPr>
        <w:t>, Carrie K. Kouba</w:t>
      </w:r>
      <w:r w:rsidRPr="00137CE7">
        <w:rPr>
          <w:rFonts w:ascii="Arial" w:hAnsi="Arial" w:cs="Arial"/>
          <w:sz w:val="22"/>
          <w:szCs w:val="22"/>
          <w:vertAlign w:val="superscript"/>
        </w:rPr>
        <w:t>3</w:t>
      </w:r>
      <w:r w:rsidRPr="00137CE7">
        <w:rPr>
          <w:rFonts w:ascii="Arial" w:hAnsi="Arial" w:cs="Arial"/>
          <w:sz w:val="22"/>
          <w:szCs w:val="22"/>
        </w:rPr>
        <w:t xml:space="preserve">, </w:t>
      </w:r>
      <w:r w:rsidRPr="00137CE7">
        <w:rPr>
          <w:rFonts w:ascii="Arial" w:hAnsi="Arial" w:cs="Arial"/>
          <w:i/>
          <w:iCs/>
          <w:sz w:val="22"/>
          <w:szCs w:val="22"/>
        </w:rPr>
        <w:t>Andrew J. Kouba</w:t>
      </w:r>
      <w:r w:rsidRPr="00137CE7">
        <w:rPr>
          <w:rFonts w:ascii="Arial" w:hAnsi="Arial" w:cs="Arial"/>
          <w:i/>
          <w:iCs/>
          <w:sz w:val="22"/>
          <w:szCs w:val="22"/>
          <w:vertAlign w:val="superscript"/>
        </w:rPr>
        <w:t>1</w:t>
      </w:r>
    </w:p>
    <w:p w14:paraId="3745B597" w14:textId="767B1E9A"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sz w:val="22"/>
          <w:szCs w:val="22"/>
          <w:vertAlign w:val="superscript"/>
        </w:rPr>
        <w:t>1</w:t>
      </w:r>
      <w:r w:rsidRPr="00137CE7">
        <w:rPr>
          <w:rFonts w:ascii="Arial" w:hAnsi="Arial" w:cs="Arial"/>
          <w:sz w:val="22"/>
          <w:szCs w:val="22"/>
        </w:rPr>
        <w:t>Department of Wildlife, Fisheries, and Aquaculture, Mississippi State University, Mississippi State, MS, USA</w:t>
      </w:r>
      <w:r w:rsidR="000A4471" w:rsidRPr="00137CE7">
        <w:rPr>
          <w:rFonts w:ascii="Arial" w:hAnsi="Arial" w:cs="Arial"/>
          <w:sz w:val="22"/>
          <w:szCs w:val="22"/>
        </w:rPr>
        <w:t xml:space="preserve">; </w:t>
      </w:r>
      <w:r w:rsidRPr="00137CE7">
        <w:rPr>
          <w:rFonts w:ascii="Arial" w:hAnsi="Arial" w:cs="Arial"/>
          <w:sz w:val="22"/>
          <w:szCs w:val="22"/>
          <w:vertAlign w:val="superscript"/>
        </w:rPr>
        <w:t>2</w:t>
      </w:r>
      <w:r w:rsidRPr="00137CE7">
        <w:rPr>
          <w:rFonts w:ascii="Arial" w:hAnsi="Arial" w:cs="Arial"/>
          <w:sz w:val="22"/>
          <w:szCs w:val="22"/>
        </w:rPr>
        <w:t>Department of Pathobiology and Population Medicine, Mississippi State University College of Veterinary Medicine, Mississippi State, MS, USA</w:t>
      </w:r>
      <w:r w:rsidR="000A4471" w:rsidRPr="00137CE7">
        <w:rPr>
          <w:rFonts w:ascii="Arial" w:hAnsi="Arial" w:cs="Arial"/>
          <w:sz w:val="22"/>
          <w:szCs w:val="22"/>
        </w:rPr>
        <w:t xml:space="preserve">; </w:t>
      </w:r>
      <w:r w:rsidRPr="00137CE7">
        <w:rPr>
          <w:rFonts w:ascii="Arial" w:hAnsi="Arial" w:cs="Arial"/>
          <w:sz w:val="22"/>
          <w:szCs w:val="22"/>
          <w:vertAlign w:val="superscript"/>
        </w:rPr>
        <w:t>3</w:t>
      </w:r>
      <w:r w:rsidRPr="00137CE7">
        <w:rPr>
          <w:rFonts w:ascii="Arial" w:hAnsi="Arial" w:cs="Arial"/>
          <w:sz w:val="22"/>
          <w:szCs w:val="22"/>
        </w:rPr>
        <w:t>Department of Biochemistry and Molecular Biology, Mississippi State University, Mississippi State, MS, USA</w:t>
      </w:r>
    </w:p>
    <w:p w14:paraId="1C98C665" w14:textId="77777777" w:rsidR="00704E00"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The inability to preserve amphibian eggs continues to limit the use of Assisted Reproductive Technologies in conservation breeding programs. Early-stage embryos could be a reliable alternative for short- or long-term storage, but methods to reversibly arrest development through cold storage without compromising development haven’t been established. </w:t>
      </w:r>
    </w:p>
    <w:p w14:paraId="260C4A52" w14:textId="3E6F2DC7" w:rsidR="008F0654"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Early-stage embryonic metabolism can be slowed or halted by storing them at 4°C or 10°C for 2-12 hours such that upon warming they will resume development to advanced stages in similar numbers as control embryos kept at room temperature</w:t>
      </w:r>
      <w:r w:rsidR="008F0654" w:rsidRPr="00137CE7">
        <w:rPr>
          <w:rFonts w:ascii="Arial" w:hAnsi="Arial" w:cs="Arial"/>
          <w:sz w:val="22"/>
          <w:szCs w:val="22"/>
        </w:rPr>
        <w:t xml:space="preserve">. </w:t>
      </w:r>
    </w:p>
    <w:p w14:paraId="105A1D2C" w14:textId="7BD4995C" w:rsidR="00704E00"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1) Evaluate survivability of Fowler’s Toad embryos following treatment at 4°C, 10°C and 22°C (control) for 2, 4, 8, 12, and 24 hours. 2) Determine progression of surviving embryos to blastula, neurula, hatching, and free-swimming stages. </w:t>
      </w:r>
    </w:p>
    <w:p w14:paraId="5115F166" w14:textId="77777777" w:rsidR="00704E00"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Fowler’s Toad embryos created via IVF, were exposed at the 4-cell stage to 4°C or 10°C for 2, 4, 8, 12 or 24 hours before being returned to room temperature. Embryonic progression to blastula, neurula, hatching and free-swimming stages was counted and evaluated via GraphPad. </w:t>
      </w:r>
    </w:p>
    <w:p w14:paraId="4E1EEFEA" w14:textId="77777777" w:rsidR="00704E00"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Embryos stored at 10°C for 2 or 4 hours resumed development to late development stages at rates similar to the control embryos, whereas storage at 4°C did not for any duration tested. </w:t>
      </w:r>
    </w:p>
    <w:p w14:paraId="64025B54" w14:textId="51DAB357" w:rsidR="00DE0C1D" w:rsidRPr="00137CE7" w:rsidRDefault="00DE0C1D" w:rsidP="006A1E38">
      <w:pPr>
        <w:spacing w:line="240" w:lineRule="auto"/>
        <w:contextualSpacing/>
        <w:jc w:val="both"/>
        <w:rPr>
          <w:rFonts w:ascii="Arial" w:hAnsi="Arial" w:cs="Arial"/>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Reliable methods to slow amphibian embryonic development would provide greater long term storage opportunities for genetic management of amphibian species in both conservation and medical efforts.</w:t>
      </w:r>
    </w:p>
    <w:p w14:paraId="22A31BB5" w14:textId="77777777" w:rsidR="008F0654" w:rsidRPr="00137CE7" w:rsidRDefault="008F0654" w:rsidP="006A1E38">
      <w:pPr>
        <w:spacing w:line="240" w:lineRule="auto"/>
        <w:contextualSpacing/>
        <w:jc w:val="both"/>
        <w:rPr>
          <w:rFonts w:ascii="Arial" w:hAnsi="Arial" w:cs="Arial"/>
          <w:sz w:val="22"/>
          <w:szCs w:val="22"/>
        </w:rPr>
      </w:pPr>
    </w:p>
    <w:p w14:paraId="2614C9A1" w14:textId="25A41A8B" w:rsidR="008F0654" w:rsidRPr="00137CE7" w:rsidRDefault="008F0654" w:rsidP="006A1E38">
      <w:pPr>
        <w:spacing w:line="240" w:lineRule="auto"/>
        <w:contextualSpacing/>
        <w:jc w:val="both"/>
        <w:rPr>
          <w:rFonts w:ascii="Arial" w:hAnsi="Arial" w:cs="Arial"/>
          <w:color w:val="000000"/>
          <w:kern w:val="0"/>
          <w:sz w:val="22"/>
          <w:szCs w:val="22"/>
        </w:rPr>
      </w:pPr>
      <w:r w:rsidRPr="00137CE7">
        <w:rPr>
          <w:rFonts w:ascii="Arial" w:hAnsi="Arial" w:cs="Arial"/>
          <w:b/>
          <w:bCs/>
          <w:sz w:val="22"/>
          <w:szCs w:val="22"/>
        </w:rPr>
        <w:t>Funding:</w:t>
      </w:r>
      <w:r w:rsidR="00222F38" w:rsidRPr="00137CE7">
        <w:rPr>
          <w:rFonts w:ascii="Arial" w:hAnsi="Arial" w:cs="Arial"/>
          <w:color w:val="000000"/>
          <w:kern w:val="0"/>
          <w:sz w:val="22"/>
          <w:szCs w:val="22"/>
        </w:rPr>
        <w:t xml:space="preserve"> </w:t>
      </w:r>
      <w:r w:rsidR="00222F38" w:rsidRPr="00137CE7">
        <w:rPr>
          <w:rFonts w:ascii="Arial" w:hAnsi="Arial" w:cs="Arial"/>
          <w:color w:val="000000"/>
          <w:kern w:val="0"/>
          <w:sz w:val="22"/>
          <w:szCs w:val="22"/>
        </w:rPr>
        <w:t>MSU CVM Office of Research and Graduate Studies</w:t>
      </w:r>
    </w:p>
    <w:p w14:paraId="49150FFD" w14:textId="77777777" w:rsidR="008F0654" w:rsidRPr="00137CE7" w:rsidRDefault="008F0654" w:rsidP="006A1E38">
      <w:pPr>
        <w:spacing w:line="240" w:lineRule="auto"/>
        <w:contextualSpacing/>
        <w:jc w:val="both"/>
        <w:rPr>
          <w:rFonts w:ascii="Arial" w:hAnsi="Arial" w:cs="Arial"/>
          <w:sz w:val="22"/>
          <w:szCs w:val="22"/>
          <w:u w:val="single"/>
        </w:rPr>
      </w:pPr>
    </w:p>
    <w:p w14:paraId="5BD4CDB6" w14:textId="4539936A"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w:t>
      </w:r>
      <w:r w:rsidRPr="00137CE7">
        <w:rPr>
          <w:rFonts w:ascii="Arial" w:hAnsi="Arial" w:cs="Arial"/>
          <w:b/>
          <w:bCs/>
          <w:sz w:val="22"/>
          <w:szCs w:val="22"/>
        </w:rPr>
        <w:t>DEVELOPMENT OF A WORKFLOW FOR MESENCHYMAL STEM CELL ISOLATION</w:t>
      </w:r>
    </w:p>
    <w:p w14:paraId="0DE4B821" w14:textId="5246051A"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AND EXOSOMAL MICRORNA ANALYSIS IN NATURALLY OCCURRING CANINE</w:t>
      </w:r>
    </w:p>
    <w:p w14:paraId="1A788AE1" w14:textId="77777777" w:rsidR="008F0654" w:rsidRPr="00137CE7" w:rsidRDefault="008F0654" w:rsidP="006A1E38">
      <w:pPr>
        <w:spacing w:line="240" w:lineRule="auto"/>
        <w:contextualSpacing/>
        <w:jc w:val="both"/>
        <w:rPr>
          <w:rFonts w:ascii="Arial" w:hAnsi="Arial" w:cs="Arial"/>
          <w:b/>
          <w:bCs/>
          <w:sz w:val="22"/>
          <w:szCs w:val="22"/>
        </w:rPr>
      </w:pPr>
      <w:r w:rsidRPr="00137CE7">
        <w:rPr>
          <w:rFonts w:ascii="Arial" w:hAnsi="Arial" w:cs="Arial"/>
          <w:b/>
          <w:bCs/>
          <w:sz w:val="22"/>
          <w:szCs w:val="22"/>
        </w:rPr>
        <w:t>OSTEOARTHRITIS</w:t>
      </w:r>
    </w:p>
    <w:p w14:paraId="74CA1450" w14:textId="77777777" w:rsidR="008F0654" w:rsidRPr="00137CE7" w:rsidRDefault="008F0654" w:rsidP="006A1E38">
      <w:pPr>
        <w:spacing w:line="240" w:lineRule="auto"/>
        <w:contextualSpacing/>
        <w:jc w:val="both"/>
        <w:rPr>
          <w:rFonts w:ascii="Arial" w:hAnsi="Arial" w:cs="Arial"/>
          <w:sz w:val="22"/>
          <w:szCs w:val="22"/>
        </w:rPr>
      </w:pPr>
    </w:p>
    <w:p w14:paraId="1D7498C1" w14:textId="5337CF88"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sz w:val="22"/>
          <w:szCs w:val="22"/>
        </w:rPr>
        <w:t>Authors:</w:t>
      </w:r>
      <w:r w:rsidRPr="00137CE7">
        <w:rPr>
          <w:rFonts w:ascii="Arial" w:hAnsi="Arial" w:cs="Arial"/>
          <w:sz w:val="22"/>
          <w:szCs w:val="22"/>
        </w:rPr>
        <w:t xml:space="preserve"> </w:t>
      </w:r>
      <w:r w:rsidRPr="00137CE7">
        <w:rPr>
          <w:rFonts w:ascii="Arial" w:hAnsi="Arial" w:cs="Arial"/>
          <w:b/>
          <w:bCs/>
          <w:sz w:val="22"/>
          <w:szCs w:val="22"/>
        </w:rPr>
        <w:t>Frost M</w:t>
      </w:r>
      <w:r w:rsidRPr="00137CE7">
        <w:rPr>
          <w:rFonts w:ascii="Arial" w:hAnsi="Arial" w:cs="Arial"/>
          <w:sz w:val="22"/>
          <w:szCs w:val="22"/>
        </w:rPr>
        <w:t xml:space="preserve">., </w:t>
      </w:r>
      <w:r w:rsidRPr="00137CE7">
        <w:rPr>
          <w:rFonts w:ascii="Arial" w:hAnsi="Arial" w:cs="Arial"/>
          <w:i/>
          <w:iCs/>
          <w:sz w:val="22"/>
          <w:szCs w:val="22"/>
        </w:rPr>
        <w:t>Jaffe M</w:t>
      </w:r>
      <w:r w:rsidRPr="00137CE7">
        <w:rPr>
          <w:rFonts w:ascii="Arial" w:hAnsi="Arial" w:cs="Arial"/>
          <w:sz w:val="22"/>
          <w:szCs w:val="22"/>
        </w:rPr>
        <w:t>.</w:t>
      </w:r>
    </w:p>
    <w:p w14:paraId="1D14F4BD"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sz w:val="22"/>
          <w:szCs w:val="22"/>
        </w:rPr>
        <w:t>Department of Clinical Sciences, College of Veterinary Medicine, Mississippi State</w:t>
      </w:r>
    </w:p>
    <w:p w14:paraId="47FDBB38"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sz w:val="22"/>
          <w:szCs w:val="22"/>
        </w:rPr>
        <w:t>University, Starkville, MS</w:t>
      </w:r>
    </w:p>
    <w:p w14:paraId="792673DD" w14:textId="77777777" w:rsidR="008F0654" w:rsidRPr="00137CE7" w:rsidRDefault="008F0654" w:rsidP="006A1E38">
      <w:pPr>
        <w:spacing w:line="240" w:lineRule="auto"/>
        <w:contextualSpacing/>
        <w:jc w:val="both"/>
        <w:rPr>
          <w:rFonts w:ascii="Arial" w:hAnsi="Arial" w:cs="Arial"/>
          <w:sz w:val="22"/>
          <w:szCs w:val="22"/>
        </w:rPr>
      </w:pPr>
    </w:p>
    <w:p w14:paraId="7B02FA58" w14:textId="4CEF60E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Osteoarthritis (OA) secondary to cranial cruciate ligament (CCL) rupture</w:t>
      </w:r>
      <w:r w:rsidR="00AE6912" w:rsidRPr="00137CE7">
        <w:rPr>
          <w:rFonts w:ascii="Arial" w:hAnsi="Arial" w:cs="Arial"/>
          <w:sz w:val="22"/>
          <w:szCs w:val="22"/>
        </w:rPr>
        <w:t xml:space="preserve"> </w:t>
      </w:r>
      <w:r w:rsidRPr="00137CE7">
        <w:rPr>
          <w:rFonts w:ascii="Arial" w:hAnsi="Arial" w:cs="Arial"/>
          <w:sz w:val="22"/>
          <w:szCs w:val="22"/>
        </w:rPr>
        <w:t>is a leading cause of pain and reduced mobility in dogs. Mesenchymal stem cells</w:t>
      </w:r>
      <w:r w:rsidR="00AE6912" w:rsidRPr="00137CE7">
        <w:rPr>
          <w:rFonts w:ascii="Arial" w:hAnsi="Arial" w:cs="Arial"/>
          <w:sz w:val="22"/>
          <w:szCs w:val="22"/>
        </w:rPr>
        <w:t xml:space="preserve"> </w:t>
      </w:r>
      <w:r w:rsidRPr="00137CE7">
        <w:rPr>
          <w:rFonts w:ascii="Arial" w:hAnsi="Arial" w:cs="Arial"/>
          <w:sz w:val="22"/>
          <w:szCs w:val="22"/>
        </w:rPr>
        <w:t xml:space="preserve">(MSCs) and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microRNAs are promising targets for regenerative medicine</w:t>
      </w:r>
      <w:r w:rsidR="00AE6912" w:rsidRPr="00137CE7">
        <w:rPr>
          <w:rFonts w:ascii="Arial" w:hAnsi="Arial" w:cs="Arial"/>
          <w:sz w:val="22"/>
          <w:szCs w:val="22"/>
        </w:rPr>
        <w:t xml:space="preserve"> </w:t>
      </w:r>
      <w:r w:rsidRPr="00137CE7">
        <w:rPr>
          <w:rFonts w:ascii="Arial" w:hAnsi="Arial" w:cs="Arial"/>
          <w:sz w:val="22"/>
          <w:szCs w:val="22"/>
        </w:rPr>
        <w:t>because of their roles in tissue repair and reducing inflammation.</w:t>
      </w:r>
    </w:p>
    <w:p w14:paraId="19A31952" w14:textId="132215D2"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We initially hypothesized that increasing osteoarthritis severity would be</w:t>
      </w:r>
      <w:r w:rsidR="00AE6912" w:rsidRPr="00137CE7">
        <w:rPr>
          <w:rFonts w:ascii="Arial" w:hAnsi="Arial" w:cs="Arial"/>
          <w:sz w:val="22"/>
          <w:szCs w:val="22"/>
        </w:rPr>
        <w:t xml:space="preserve"> </w:t>
      </w:r>
      <w:r w:rsidRPr="00137CE7">
        <w:rPr>
          <w:rFonts w:ascii="Arial" w:hAnsi="Arial" w:cs="Arial"/>
          <w:sz w:val="22"/>
          <w:szCs w:val="22"/>
        </w:rPr>
        <w:t xml:space="preserve">associated with greater MSC abundance and increased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w:t>
      </w:r>
      <w:r w:rsidR="00AE6912" w:rsidRPr="00137CE7">
        <w:rPr>
          <w:rFonts w:ascii="Arial" w:hAnsi="Arial" w:cs="Arial"/>
          <w:sz w:val="22"/>
          <w:szCs w:val="22"/>
        </w:rPr>
        <w:t xml:space="preserve"> </w:t>
      </w:r>
      <w:r w:rsidRPr="00137CE7">
        <w:rPr>
          <w:rFonts w:ascii="Arial" w:hAnsi="Arial" w:cs="Arial"/>
          <w:sz w:val="22"/>
          <w:szCs w:val="22"/>
        </w:rPr>
        <w:t>expression.</w:t>
      </w:r>
    </w:p>
    <w:p w14:paraId="210F109E"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w:t>
      </w:r>
      <w:r w:rsidRPr="00137CE7">
        <w:rPr>
          <w:rFonts w:ascii="Arial" w:hAnsi="Arial" w:cs="Arial"/>
          <w:b/>
          <w:bCs/>
          <w:sz w:val="22"/>
          <w:szCs w:val="22"/>
        </w:rPr>
        <w:t>:</w:t>
      </w:r>
      <w:r w:rsidRPr="00137CE7">
        <w:rPr>
          <w:rFonts w:ascii="Arial" w:hAnsi="Arial" w:cs="Arial"/>
          <w:sz w:val="22"/>
          <w:szCs w:val="22"/>
        </w:rPr>
        <w:t xml:space="preserve"> To establish a workflow for MSC and exosome isolation and </w:t>
      </w:r>
      <w:proofErr w:type="spellStart"/>
      <w:r w:rsidRPr="00137CE7">
        <w:rPr>
          <w:rFonts w:ascii="Arial" w:hAnsi="Arial" w:cs="Arial"/>
          <w:sz w:val="22"/>
          <w:szCs w:val="22"/>
        </w:rPr>
        <w:t>exosomal</w:t>
      </w:r>
      <w:proofErr w:type="spellEnd"/>
    </w:p>
    <w:p w14:paraId="59FD4F38" w14:textId="77777777"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sz w:val="22"/>
          <w:szCs w:val="22"/>
        </w:rPr>
        <w:t>microRNA extraction from canine tissues.</w:t>
      </w:r>
    </w:p>
    <w:p w14:paraId="6D99C182" w14:textId="7CA9F26B"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Adipose tissue, synovial membrane, and synovial fluid were collected from</w:t>
      </w:r>
      <w:r w:rsidR="00AE6912" w:rsidRPr="00137CE7">
        <w:rPr>
          <w:rFonts w:ascii="Arial" w:hAnsi="Arial" w:cs="Arial"/>
          <w:sz w:val="22"/>
          <w:szCs w:val="22"/>
        </w:rPr>
        <w:t xml:space="preserve"> </w:t>
      </w:r>
      <w:r w:rsidRPr="00137CE7">
        <w:rPr>
          <w:rFonts w:ascii="Arial" w:hAnsi="Arial" w:cs="Arial"/>
          <w:sz w:val="22"/>
          <w:szCs w:val="22"/>
        </w:rPr>
        <w:t>the stifle joints of six dogs undergoing surgery for naturally occurring OA secondary to</w:t>
      </w:r>
      <w:r w:rsidR="00AE6912" w:rsidRPr="00137CE7">
        <w:rPr>
          <w:rFonts w:ascii="Arial" w:hAnsi="Arial" w:cs="Arial"/>
          <w:sz w:val="22"/>
          <w:szCs w:val="22"/>
        </w:rPr>
        <w:t xml:space="preserve"> </w:t>
      </w:r>
      <w:r w:rsidRPr="00137CE7">
        <w:rPr>
          <w:rFonts w:ascii="Arial" w:hAnsi="Arial" w:cs="Arial"/>
          <w:sz w:val="22"/>
          <w:szCs w:val="22"/>
        </w:rPr>
        <w:t>CCL rupture. MSCs were isolated and expanded in culture to generate conditioned</w:t>
      </w:r>
      <w:r w:rsidR="00AE6912" w:rsidRPr="00137CE7">
        <w:rPr>
          <w:rFonts w:ascii="Arial" w:hAnsi="Arial" w:cs="Arial"/>
          <w:sz w:val="22"/>
          <w:szCs w:val="22"/>
        </w:rPr>
        <w:t xml:space="preserve"> </w:t>
      </w:r>
      <w:r w:rsidRPr="00137CE7">
        <w:rPr>
          <w:rFonts w:ascii="Arial" w:hAnsi="Arial" w:cs="Arial"/>
          <w:sz w:val="22"/>
          <w:szCs w:val="22"/>
        </w:rPr>
        <w:t xml:space="preserve">media for exosome isolation and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 extraction. Technical challenges</w:t>
      </w:r>
      <w:r w:rsidR="00AE6912" w:rsidRPr="00137CE7">
        <w:rPr>
          <w:rFonts w:ascii="Arial" w:hAnsi="Arial" w:cs="Arial"/>
          <w:sz w:val="22"/>
          <w:szCs w:val="22"/>
        </w:rPr>
        <w:t xml:space="preserve"> </w:t>
      </w:r>
      <w:r w:rsidRPr="00137CE7">
        <w:rPr>
          <w:rFonts w:ascii="Arial" w:hAnsi="Arial" w:cs="Arial"/>
          <w:sz w:val="22"/>
          <w:szCs w:val="22"/>
        </w:rPr>
        <w:t xml:space="preserve">required protocol modifications, resulting in a pilot evaluation of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w:t>
      </w:r>
      <w:r w:rsidR="00AE6912" w:rsidRPr="00137CE7">
        <w:rPr>
          <w:rFonts w:ascii="Arial" w:hAnsi="Arial" w:cs="Arial"/>
          <w:sz w:val="22"/>
          <w:szCs w:val="22"/>
        </w:rPr>
        <w:t xml:space="preserve"> </w:t>
      </w:r>
      <w:r w:rsidRPr="00137CE7">
        <w:rPr>
          <w:rFonts w:ascii="Arial" w:hAnsi="Arial" w:cs="Arial"/>
          <w:sz w:val="22"/>
          <w:szCs w:val="22"/>
        </w:rPr>
        <w:t xml:space="preserve">from six synovial membrane samples. TaqMan </w:t>
      </w:r>
      <w:r w:rsidRPr="00137CE7">
        <w:rPr>
          <w:rFonts w:ascii="Arial" w:hAnsi="Arial" w:cs="Arial"/>
          <w:sz w:val="22"/>
          <w:szCs w:val="22"/>
        </w:rPr>
        <w:lastRenderedPageBreak/>
        <w:t>quantitative PCR was performed to</w:t>
      </w:r>
      <w:r w:rsidR="00AE6912" w:rsidRPr="00137CE7">
        <w:rPr>
          <w:rFonts w:ascii="Arial" w:hAnsi="Arial" w:cs="Arial"/>
          <w:sz w:val="22"/>
          <w:szCs w:val="22"/>
        </w:rPr>
        <w:t xml:space="preserve"> </w:t>
      </w:r>
      <w:r w:rsidRPr="00137CE7">
        <w:rPr>
          <w:rFonts w:ascii="Arial" w:hAnsi="Arial" w:cs="Arial"/>
          <w:sz w:val="22"/>
          <w:szCs w:val="22"/>
        </w:rPr>
        <w:t>evaluate miR-155, miR-127, miR-543, and miR-542 using let-7a as the reference gene.</w:t>
      </w:r>
    </w:p>
    <w:p w14:paraId="352CC9B3" w14:textId="0B8EDB12"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 was successfully isolated and quantified from all six</w:t>
      </w:r>
      <w:r w:rsidR="00AE6912" w:rsidRPr="00137CE7">
        <w:rPr>
          <w:rFonts w:ascii="Arial" w:hAnsi="Arial" w:cs="Arial"/>
          <w:sz w:val="22"/>
          <w:szCs w:val="22"/>
        </w:rPr>
        <w:t xml:space="preserve"> </w:t>
      </w:r>
      <w:r w:rsidRPr="00137CE7">
        <w:rPr>
          <w:rFonts w:ascii="Arial" w:hAnsi="Arial" w:cs="Arial"/>
          <w:sz w:val="22"/>
          <w:szCs w:val="22"/>
        </w:rPr>
        <w:t>samples. All target microRNAs were detected, with miR-155 demonstrating the greatest</w:t>
      </w:r>
      <w:r w:rsidR="00AE6912" w:rsidRPr="00137CE7">
        <w:rPr>
          <w:rFonts w:ascii="Arial" w:hAnsi="Arial" w:cs="Arial"/>
          <w:sz w:val="22"/>
          <w:szCs w:val="22"/>
        </w:rPr>
        <w:t xml:space="preserve"> </w:t>
      </w:r>
      <w:r w:rsidRPr="00137CE7">
        <w:rPr>
          <w:rFonts w:ascii="Arial" w:hAnsi="Arial" w:cs="Arial"/>
          <w:sz w:val="22"/>
          <w:szCs w:val="22"/>
        </w:rPr>
        <w:t>overall expression. Expression varied among samples with different Canine</w:t>
      </w:r>
      <w:r w:rsidR="00AE6912" w:rsidRPr="00137CE7">
        <w:rPr>
          <w:rFonts w:ascii="Arial" w:hAnsi="Arial" w:cs="Arial"/>
          <w:sz w:val="22"/>
          <w:szCs w:val="22"/>
        </w:rPr>
        <w:t xml:space="preserve"> </w:t>
      </w:r>
      <w:proofErr w:type="spellStart"/>
      <w:r w:rsidRPr="00137CE7">
        <w:rPr>
          <w:rFonts w:ascii="Arial" w:hAnsi="Arial" w:cs="Arial"/>
          <w:sz w:val="22"/>
          <w:szCs w:val="22"/>
        </w:rPr>
        <w:t>OsteoArthritis</w:t>
      </w:r>
      <w:proofErr w:type="spellEnd"/>
      <w:r w:rsidRPr="00137CE7">
        <w:rPr>
          <w:rFonts w:ascii="Arial" w:hAnsi="Arial" w:cs="Arial"/>
          <w:sz w:val="22"/>
          <w:szCs w:val="22"/>
        </w:rPr>
        <w:t xml:space="preserve"> Staging Tool (COAST) scores; the sample with the highest COAST-score</w:t>
      </w:r>
      <w:r w:rsidR="00AE6912" w:rsidRPr="00137CE7">
        <w:rPr>
          <w:rFonts w:ascii="Arial" w:hAnsi="Arial" w:cs="Arial"/>
          <w:sz w:val="22"/>
          <w:szCs w:val="22"/>
        </w:rPr>
        <w:t xml:space="preserve"> </w:t>
      </w:r>
      <w:r w:rsidRPr="00137CE7">
        <w:rPr>
          <w:rFonts w:ascii="Arial" w:hAnsi="Arial" w:cs="Arial"/>
          <w:sz w:val="22"/>
          <w:szCs w:val="22"/>
        </w:rPr>
        <w:t>(most severe osteoarthritis) exhibited the greatest miR-155 expression. However, the</w:t>
      </w:r>
      <w:r w:rsidR="00AE6912" w:rsidRPr="00137CE7">
        <w:rPr>
          <w:rFonts w:ascii="Arial" w:hAnsi="Arial" w:cs="Arial"/>
          <w:sz w:val="22"/>
          <w:szCs w:val="22"/>
        </w:rPr>
        <w:t xml:space="preserve"> </w:t>
      </w:r>
      <w:r w:rsidRPr="00137CE7">
        <w:rPr>
          <w:rFonts w:ascii="Arial" w:hAnsi="Arial" w:cs="Arial"/>
          <w:sz w:val="22"/>
          <w:szCs w:val="22"/>
        </w:rPr>
        <w:t>limited sample size and absence of healthy controls prevented definitive assessment of</w:t>
      </w:r>
      <w:r w:rsidR="00AE6912" w:rsidRPr="00137CE7">
        <w:rPr>
          <w:rFonts w:ascii="Arial" w:hAnsi="Arial" w:cs="Arial"/>
          <w:sz w:val="22"/>
          <w:szCs w:val="22"/>
        </w:rPr>
        <w:t xml:space="preserve"> </w:t>
      </w:r>
      <w:r w:rsidRPr="00137CE7">
        <w:rPr>
          <w:rFonts w:ascii="Arial" w:hAnsi="Arial" w:cs="Arial"/>
          <w:sz w:val="22"/>
          <w:szCs w:val="22"/>
        </w:rPr>
        <w:t>relationships between OA and microRNA expression.</w:t>
      </w:r>
    </w:p>
    <w:p w14:paraId="23593EBC" w14:textId="1EA76DC6" w:rsidR="008F0654" w:rsidRPr="00137CE7" w:rsidRDefault="008F0654" w:rsidP="006A1E38">
      <w:pPr>
        <w:spacing w:line="240" w:lineRule="auto"/>
        <w:contextualSpacing/>
        <w:jc w:val="both"/>
        <w:rPr>
          <w:rFonts w:ascii="Arial" w:hAnsi="Arial" w:cs="Arial"/>
          <w:sz w:val="22"/>
          <w:szCs w:val="22"/>
        </w:rPr>
      </w:pPr>
      <w:r w:rsidRPr="00137CE7">
        <w:rPr>
          <w:rFonts w:ascii="Arial" w:hAnsi="Arial" w:cs="Arial"/>
          <w:b/>
          <w:bCs/>
          <w:i/>
          <w:iCs/>
          <w:sz w:val="22"/>
          <w:szCs w:val="22"/>
        </w:rPr>
        <w:t>Conclusions</w:t>
      </w:r>
      <w:r w:rsidRPr="00137CE7">
        <w:rPr>
          <w:rFonts w:ascii="Arial" w:hAnsi="Arial" w:cs="Arial"/>
          <w:b/>
          <w:bCs/>
          <w:sz w:val="22"/>
          <w:szCs w:val="22"/>
        </w:rPr>
        <w:t>:</w:t>
      </w:r>
      <w:r w:rsidRPr="00137CE7">
        <w:rPr>
          <w:rFonts w:ascii="Arial" w:hAnsi="Arial" w:cs="Arial"/>
          <w:sz w:val="22"/>
          <w:szCs w:val="22"/>
        </w:rPr>
        <w:t xml:space="preserve"> This pilot study established a workflow for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 isolation</w:t>
      </w:r>
      <w:r w:rsidR="00AE6912" w:rsidRPr="00137CE7">
        <w:rPr>
          <w:rFonts w:ascii="Arial" w:hAnsi="Arial" w:cs="Arial"/>
          <w:sz w:val="22"/>
          <w:szCs w:val="22"/>
        </w:rPr>
        <w:t xml:space="preserve"> </w:t>
      </w:r>
      <w:r w:rsidRPr="00137CE7">
        <w:rPr>
          <w:rFonts w:ascii="Arial" w:hAnsi="Arial" w:cs="Arial"/>
          <w:sz w:val="22"/>
          <w:szCs w:val="22"/>
        </w:rPr>
        <w:t>and analysis from canine osteoarthritic tissues, providing a foundation for larger,</w:t>
      </w:r>
      <w:r w:rsidR="00AE6912" w:rsidRPr="00137CE7">
        <w:rPr>
          <w:rFonts w:ascii="Arial" w:hAnsi="Arial" w:cs="Arial"/>
          <w:sz w:val="22"/>
          <w:szCs w:val="22"/>
        </w:rPr>
        <w:t xml:space="preserve"> </w:t>
      </w:r>
      <w:r w:rsidRPr="00137CE7">
        <w:rPr>
          <w:rFonts w:ascii="Arial" w:hAnsi="Arial" w:cs="Arial"/>
          <w:sz w:val="22"/>
          <w:szCs w:val="22"/>
        </w:rPr>
        <w:t xml:space="preserve">controlled studies investigating </w:t>
      </w:r>
      <w:proofErr w:type="spellStart"/>
      <w:r w:rsidRPr="00137CE7">
        <w:rPr>
          <w:rFonts w:ascii="Arial" w:hAnsi="Arial" w:cs="Arial"/>
          <w:sz w:val="22"/>
          <w:szCs w:val="22"/>
        </w:rPr>
        <w:t>exosomal</w:t>
      </w:r>
      <w:proofErr w:type="spellEnd"/>
      <w:r w:rsidRPr="00137CE7">
        <w:rPr>
          <w:rFonts w:ascii="Arial" w:hAnsi="Arial" w:cs="Arial"/>
          <w:sz w:val="22"/>
          <w:szCs w:val="22"/>
        </w:rPr>
        <w:t xml:space="preserve"> microRNAs as biomarkers and therapeutic</w:t>
      </w:r>
      <w:r w:rsidR="00AE6912" w:rsidRPr="00137CE7">
        <w:rPr>
          <w:rFonts w:ascii="Arial" w:hAnsi="Arial" w:cs="Arial"/>
          <w:sz w:val="22"/>
          <w:szCs w:val="22"/>
        </w:rPr>
        <w:t xml:space="preserve"> </w:t>
      </w:r>
      <w:r w:rsidRPr="00137CE7">
        <w:rPr>
          <w:rFonts w:ascii="Arial" w:hAnsi="Arial" w:cs="Arial"/>
          <w:sz w:val="22"/>
          <w:szCs w:val="22"/>
        </w:rPr>
        <w:t>targets for canine OA.</w:t>
      </w:r>
    </w:p>
    <w:p w14:paraId="2B4E398F" w14:textId="77777777" w:rsidR="008F0654" w:rsidRPr="00137CE7" w:rsidRDefault="008F0654" w:rsidP="006A1E38">
      <w:pPr>
        <w:spacing w:line="240" w:lineRule="auto"/>
        <w:contextualSpacing/>
        <w:jc w:val="both"/>
        <w:rPr>
          <w:rFonts w:ascii="Arial" w:hAnsi="Arial" w:cs="Arial"/>
          <w:sz w:val="22"/>
          <w:szCs w:val="22"/>
        </w:rPr>
      </w:pPr>
    </w:p>
    <w:p w14:paraId="30A60B2F" w14:textId="1C17DAE8" w:rsidR="00222F38" w:rsidRPr="00137CE7" w:rsidRDefault="008F0654" w:rsidP="006A1E38">
      <w:pPr>
        <w:spacing w:line="240" w:lineRule="auto"/>
        <w:contextualSpacing/>
        <w:jc w:val="both"/>
        <w:rPr>
          <w:rFonts w:ascii="Arial" w:hAnsi="Arial" w:cs="Arial"/>
          <w:color w:val="000000"/>
          <w:kern w:val="0"/>
          <w:sz w:val="22"/>
          <w:szCs w:val="22"/>
        </w:rPr>
      </w:pPr>
      <w:r w:rsidRPr="00137CE7">
        <w:rPr>
          <w:rFonts w:ascii="Arial" w:hAnsi="Arial" w:cs="Arial"/>
          <w:b/>
          <w:bCs/>
          <w:sz w:val="22"/>
          <w:szCs w:val="22"/>
        </w:rPr>
        <w:t>Funding:</w:t>
      </w:r>
      <w:r w:rsidR="00222F38" w:rsidRPr="00137CE7">
        <w:rPr>
          <w:rFonts w:ascii="Arial" w:hAnsi="Arial" w:cs="Arial"/>
          <w:color w:val="000000"/>
          <w:kern w:val="0"/>
          <w:sz w:val="22"/>
          <w:szCs w:val="22"/>
        </w:rPr>
        <w:t xml:space="preserve"> Boehringer Ingelheim</w:t>
      </w:r>
      <w:r w:rsidR="00A7398D">
        <w:rPr>
          <w:rFonts w:ascii="Arial" w:hAnsi="Arial" w:cs="Arial"/>
          <w:color w:val="000000"/>
          <w:kern w:val="0"/>
          <w:sz w:val="22"/>
          <w:szCs w:val="22"/>
        </w:rPr>
        <w:t xml:space="preserve"> and </w:t>
      </w:r>
      <w:r w:rsidR="00A7398D" w:rsidRPr="00137CE7">
        <w:rPr>
          <w:rFonts w:ascii="Arial" w:hAnsi="Arial" w:cs="Arial"/>
          <w:color w:val="000000"/>
          <w:kern w:val="0"/>
          <w:sz w:val="22"/>
          <w:szCs w:val="22"/>
        </w:rPr>
        <w:t>MSU CVM Office of Research and Graduate Studies</w:t>
      </w:r>
    </w:p>
    <w:p w14:paraId="7C4FC318" w14:textId="6D07D872" w:rsidR="008F0654" w:rsidRPr="00137CE7" w:rsidRDefault="008F0654" w:rsidP="006A1E38">
      <w:pPr>
        <w:spacing w:line="240" w:lineRule="auto"/>
        <w:contextualSpacing/>
        <w:jc w:val="both"/>
        <w:rPr>
          <w:rFonts w:ascii="Arial" w:hAnsi="Arial" w:cs="Arial"/>
          <w:b/>
          <w:bCs/>
          <w:sz w:val="22"/>
          <w:szCs w:val="22"/>
        </w:rPr>
      </w:pPr>
    </w:p>
    <w:p w14:paraId="73C1673F" w14:textId="77777777"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INCORPORATION OF AEROMONAS HYDROPHILA TADZ PILUS GENE INTO</w:t>
      </w:r>
    </w:p>
    <w:p w14:paraId="5DA2D9EA" w14:textId="77777777"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sz w:val="22"/>
          <w:szCs w:val="22"/>
        </w:rPr>
        <w:t>RECOMBINANT EDWARDSIELLA ICTALURI VACCINES FOR CATFISH</w:t>
      </w:r>
    </w:p>
    <w:p w14:paraId="144F5770" w14:textId="77777777" w:rsidR="00AC3CA4" w:rsidRPr="00137CE7" w:rsidRDefault="00AC3CA4" w:rsidP="006A1E38">
      <w:pPr>
        <w:spacing w:line="240" w:lineRule="auto"/>
        <w:contextualSpacing/>
        <w:jc w:val="both"/>
        <w:rPr>
          <w:rFonts w:ascii="Arial" w:hAnsi="Arial" w:cs="Arial"/>
          <w:b/>
          <w:bCs/>
          <w:sz w:val="22"/>
          <w:szCs w:val="22"/>
        </w:rPr>
      </w:pPr>
    </w:p>
    <w:p w14:paraId="4B8ED3C7" w14:textId="77777777"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sz w:val="22"/>
          <w:szCs w:val="22"/>
        </w:rPr>
        <w:t>Authors: Brody Hamm,</w:t>
      </w:r>
      <w:r w:rsidRPr="00137CE7">
        <w:rPr>
          <w:rFonts w:ascii="Arial" w:hAnsi="Arial" w:cs="Arial"/>
          <w:sz w:val="22"/>
          <w:szCs w:val="22"/>
        </w:rPr>
        <w:t xml:space="preserve"> Basant Gomaa, </w:t>
      </w:r>
      <w:r w:rsidRPr="00137CE7">
        <w:rPr>
          <w:rFonts w:ascii="Arial" w:hAnsi="Arial" w:cs="Arial"/>
          <w:i/>
          <w:iCs/>
          <w:sz w:val="22"/>
          <w:szCs w:val="22"/>
        </w:rPr>
        <w:t>Mark Lawrence</w:t>
      </w:r>
    </w:p>
    <w:p w14:paraId="415F571A" w14:textId="21DFB90E"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sz w:val="22"/>
          <w:szCs w:val="22"/>
        </w:rPr>
        <w:t>Department of Comparative Biomedical Sciences, Mississippi State University</w:t>
      </w:r>
    </w:p>
    <w:p w14:paraId="019D6A2C" w14:textId="77777777"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sz w:val="22"/>
          <w:szCs w:val="22"/>
        </w:rPr>
        <w:t>College of Veterinary Medicine, Starkville, MS</w:t>
      </w:r>
    </w:p>
    <w:p w14:paraId="42DFE1A1" w14:textId="77777777" w:rsidR="00AC3CA4" w:rsidRPr="00137CE7" w:rsidRDefault="00AC3CA4" w:rsidP="006A1E38">
      <w:pPr>
        <w:spacing w:line="240" w:lineRule="auto"/>
        <w:contextualSpacing/>
        <w:jc w:val="both"/>
        <w:rPr>
          <w:rFonts w:ascii="Arial" w:hAnsi="Arial" w:cs="Arial"/>
          <w:b/>
          <w:bCs/>
          <w:sz w:val="22"/>
          <w:szCs w:val="22"/>
        </w:rPr>
      </w:pPr>
    </w:p>
    <w:p w14:paraId="44479B56" w14:textId="4D2F8023"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 xml:space="preserve">: </w:t>
      </w:r>
      <w:proofErr w:type="spellStart"/>
      <w:r w:rsidRPr="00137CE7">
        <w:rPr>
          <w:rFonts w:ascii="Arial" w:hAnsi="Arial" w:cs="Arial"/>
          <w:i/>
          <w:iCs/>
          <w:sz w:val="22"/>
          <w:szCs w:val="22"/>
        </w:rPr>
        <w:t>Edwardsiella</w:t>
      </w:r>
      <w:proofErr w:type="spellEnd"/>
      <w:r w:rsidRPr="00137CE7">
        <w:rPr>
          <w:rFonts w:ascii="Arial" w:hAnsi="Arial" w:cs="Arial"/>
          <w:i/>
          <w:iCs/>
          <w:sz w:val="22"/>
          <w:szCs w:val="22"/>
        </w:rPr>
        <w:t xml:space="preserve"> </w:t>
      </w:r>
      <w:proofErr w:type="spellStart"/>
      <w:r w:rsidRPr="00137CE7">
        <w:rPr>
          <w:rFonts w:ascii="Arial" w:hAnsi="Arial" w:cs="Arial"/>
          <w:i/>
          <w:iCs/>
          <w:sz w:val="22"/>
          <w:szCs w:val="22"/>
        </w:rPr>
        <w:t>ictaluri</w:t>
      </w:r>
      <w:proofErr w:type="spellEnd"/>
      <w:r w:rsidRPr="00137CE7">
        <w:rPr>
          <w:rFonts w:ascii="Arial" w:hAnsi="Arial" w:cs="Arial"/>
          <w:sz w:val="22"/>
          <w:szCs w:val="22"/>
        </w:rPr>
        <w:t xml:space="preserve"> and virulent </w:t>
      </w:r>
      <w:r w:rsidRPr="00137CE7">
        <w:rPr>
          <w:rFonts w:ascii="Arial" w:hAnsi="Arial" w:cs="Arial"/>
          <w:i/>
          <w:iCs/>
          <w:sz w:val="22"/>
          <w:szCs w:val="22"/>
        </w:rPr>
        <w:t xml:space="preserve">Aeromonas </w:t>
      </w:r>
      <w:proofErr w:type="spellStart"/>
      <w:r w:rsidRPr="00137CE7">
        <w:rPr>
          <w:rFonts w:ascii="Arial" w:hAnsi="Arial" w:cs="Arial"/>
          <w:i/>
          <w:iCs/>
          <w:sz w:val="22"/>
          <w:szCs w:val="22"/>
        </w:rPr>
        <w:t>hydrophila</w:t>
      </w:r>
      <w:proofErr w:type="spellEnd"/>
      <w:r w:rsidRPr="00137CE7">
        <w:rPr>
          <w:rFonts w:ascii="Arial" w:hAnsi="Arial" w:cs="Arial"/>
          <w:sz w:val="22"/>
          <w:szCs w:val="22"/>
        </w:rPr>
        <w:t xml:space="preserve"> (</w:t>
      </w:r>
      <w:proofErr w:type="spellStart"/>
      <w:r w:rsidRPr="00137CE7">
        <w:rPr>
          <w:rFonts w:ascii="Arial" w:hAnsi="Arial" w:cs="Arial"/>
          <w:sz w:val="22"/>
          <w:szCs w:val="22"/>
        </w:rPr>
        <w:t>vAh</w:t>
      </w:r>
      <w:proofErr w:type="spellEnd"/>
      <w:r w:rsidRPr="00137CE7">
        <w:rPr>
          <w:rFonts w:ascii="Arial" w:hAnsi="Arial" w:cs="Arial"/>
          <w:sz w:val="22"/>
          <w:szCs w:val="22"/>
        </w:rPr>
        <w:t>) are economically</w:t>
      </w:r>
      <w:r w:rsidRPr="00137CE7">
        <w:rPr>
          <w:rFonts w:ascii="Arial" w:hAnsi="Arial" w:cs="Arial"/>
          <w:sz w:val="22"/>
          <w:szCs w:val="22"/>
        </w:rPr>
        <w:t xml:space="preserve"> </w:t>
      </w:r>
      <w:r w:rsidRPr="00137CE7">
        <w:rPr>
          <w:rFonts w:ascii="Arial" w:hAnsi="Arial" w:cs="Arial"/>
          <w:sz w:val="22"/>
          <w:szCs w:val="22"/>
        </w:rPr>
        <w:t>important pathogens in U.S. catfish aquaculture. Previous research developed a live</w:t>
      </w:r>
      <w:r w:rsidRPr="00137CE7">
        <w:rPr>
          <w:rFonts w:ascii="Arial" w:hAnsi="Arial" w:cs="Arial"/>
          <w:sz w:val="22"/>
          <w:szCs w:val="22"/>
        </w:rPr>
        <w:t xml:space="preserve"> </w:t>
      </w:r>
      <w:r w:rsidRPr="00137CE7">
        <w:rPr>
          <w:rFonts w:ascii="Arial" w:hAnsi="Arial" w:cs="Arial"/>
          <w:sz w:val="22"/>
          <w:szCs w:val="22"/>
        </w:rPr>
        <w:t>attenuated</w:t>
      </w:r>
      <w:r w:rsidRPr="00137CE7">
        <w:rPr>
          <w:rFonts w:ascii="Arial" w:hAnsi="Arial" w:cs="Arial"/>
          <w:sz w:val="22"/>
          <w:szCs w:val="22"/>
        </w:rPr>
        <w:t xml:space="preserve"> </w:t>
      </w:r>
      <w:r w:rsidRPr="00137CE7">
        <w:rPr>
          <w:rFonts w:ascii="Arial" w:hAnsi="Arial" w:cs="Arial"/>
          <w:i/>
          <w:iCs/>
          <w:sz w:val="22"/>
          <w:szCs w:val="22"/>
        </w:rPr>
        <w:t xml:space="preserve">E. </w:t>
      </w:r>
      <w:proofErr w:type="spellStart"/>
      <w:r w:rsidRPr="00137CE7">
        <w:rPr>
          <w:rFonts w:ascii="Arial" w:hAnsi="Arial" w:cs="Arial"/>
          <w:i/>
          <w:iCs/>
          <w:sz w:val="22"/>
          <w:szCs w:val="22"/>
        </w:rPr>
        <w:t>ictaluri</w:t>
      </w:r>
      <w:proofErr w:type="spellEnd"/>
      <w:r w:rsidRPr="00137CE7">
        <w:rPr>
          <w:rFonts w:ascii="Arial" w:hAnsi="Arial" w:cs="Arial"/>
          <w:sz w:val="22"/>
          <w:szCs w:val="22"/>
        </w:rPr>
        <w:t xml:space="preserve"> vaccine (ESC-NDKL1) and constructed recombinant vaccines</w:t>
      </w:r>
      <w:r w:rsidRPr="00137CE7">
        <w:rPr>
          <w:rFonts w:ascii="Arial" w:hAnsi="Arial" w:cs="Arial"/>
          <w:sz w:val="22"/>
          <w:szCs w:val="22"/>
        </w:rPr>
        <w:t xml:space="preserve"> </w:t>
      </w:r>
      <w:r w:rsidRPr="00137CE7">
        <w:rPr>
          <w:rFonts w:ascii="Arial" w:hAnsi="Arial" w:cs="Arial"/>
          <w:sz w:val="22"/>
          <w:szCs w:val="22"/>
        </w:rPr>
        <w:t xml:space="preserve">using ESC-NDKL1 as a carrier for </w:t>
      </w:r>
      <w:proofErr w:type="spellStart"/>
      <w:r w:rsidRPr="00137CE7">
        <w:rPr>
          <w:rFonts w:ascii="Arial" w:hAnsi="Arial" w:cs="Arial"/>
          <w:sz w:val="22"/>
          <w:szCs w:val="22"/>
        </w:rPr>
        <w:t>vAh</w:t>
      </w:r>
      <w:proofErr w:type="spellEnd"/>
      <w:r w:rsidRPr="00137CE7">
        <w:rPr>
          <w:rFonts w:ascii="Arial" w:hAnsi="Arial" w:cs="Arial"/>
          <w:sz w:val="22"/>
          <w:szCs w:val="22"/>
        </w:rPr>
        <w:t xml:space="preserve"> antigens to provide protection against both</w:t>
      </w:r>
      <w:r w:rsidRPr="00137CE7">
        <w:rPr>
          <w:rFonts w:ascii="Arial" w:hAnsi="Arial" w:cs="Arial"/>
          <w:sz w:val="22"/>
          <w:szCs w:val="22"/>
        </w:rPr>
        <w:t xml:space="preserve"> </w:t>
      </w:r>
      <w:r w:rsidRPr="00137CE7">
        <w:rPr>
          <w:rFonts w:ascii="Arial" w:hAnsi="Arial" w:cs="Arial"/>
          <w:sz w:val="22"/>
          <w:szCs w:val="22"/>
        </w:rPr>
        <w:t xml:space="preserve">pathogens. Subsequently, </w:t>
      </w:r>
      <w:proofErr w:type="spellStart"/>
      <w:r w:rsidRPr="00137CE7">
        <w:rPr>
          <w:rFonts w:ascii="Arial" w:hAnsi="Arial" w:cs="Arial"/>
          <w:sz w:val="22"/>
          <w:szCs w:val="22"/>
        </w:rPr>
        <w:t>TadZ</w:t>
      </w:r>
      <w:proofErr w:type="spellEnd"/>
      <w:r w:rsidRPr="00137CE7">
        <w:rPr>
          <w:rFonts w:ascii="Arial" w:hAnsi="Arial" w:cs="Arial"/>
          <w:sz w:val="22"/>
          <w:szCs w:val="22"/>
        </w:rPr>
        <w:t xml:space="preserve"> from </w:t>
      </w:r>
      <w:proofErr w:type="spellStart"/>
      <w:r w:rsidRPr="00137CE7">
        <w:rPr>
          <w:rFonts w:ascii="Arial" w:hAnsi="Arial" w:cs="Arial"/>
          <w:sz w:val="22"/>
          <w:szCs w:val="22"/>
        </w:rPr>
        <w:t>vAh</w:t>
      </w:r>
      <w:proofErr w:type="spellEnd"/>
      <w:r w:rsidRPr="00137CE7">
        <w:rPr>
          <w:rFonts w:ascii="Arial" w:hAnsi="Arial" w:cs="Arial"/>
          <w:sz w:val="22"/>
          <w:szCs w:val="22"/>
        </w:rPr>
        <w:t xml:space="preserve"> was discovered as a protective antigen that</w:t>
      </w:r>
      <w:r w:rsidRPr="00137CE7">
        <w:rPr>
          <w:rFonts w:ascii="Arial" w:hAnsi="Arial" w:cs="Arial"/>
          <w:sz w:val="22"/>
          <w:szCs w:val="22"/>
        </w:rPr>
        <w:t xml:space="preserve"> </w:t>
      </w:r>
      <w:r w:rsidRPr="00137CE7">
        <w:rPr>
          <w:rFonts w:ascii="Arial" w:hAnsi="Arial" w:cs="Arial"/>
          <w:sz w:val="22"/>
          <w:szCs w:val="22"/>
        </w:rPr>
        <w:t xml:space="preserve">provides significant protection against </w:t>
      </w:r>
      <w:proofErr w:type="spellStart"/>
      <w:r w:rsidRPr="00137CE7">
        <w:rPr>
          <w:rFonts w:ascii="Arial" w:hAnsi="Arial" w:cs="Arial"/>
          <w:sz w:val="22"/>
          <w:szCs w:val="22"/>
        </w:rPr>
        <w:t>vAh</w:t>
      </w:r>
      <w:proofErr w:type="spellEnd"/>
      <w:r w:rsidRPr="00137CE7">
        <w:rPr>
          <w:rFonts w:ascii="Arial" w:hAnsi="Arial" w:cs="Arial"/>
          <w:sz w:val="22"/>
          <w:szCs w:val="22"/>
        </w:rPr>
        <w:t xml:space="preserve"> infection.</w:t>
      </w:r>
    </w:p>
    <w:p w14:paraId="232EE2DB" w14:textId="315D3841"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i/>
          <w:iCs/>
          <w:sz w:val="22"/>
          <w:szCs w:val="22"/>
        </w:rPr>
        <w:t>Hypothesis</w:t>
      </w:r>
      <w:r w:rsidRPr="00137CE7">
        <w:rPr>
          <w:rFonts w:ascii="Arial" w:hAnsi="Arial" w:cs="Arial"/>
          <w:b/>
          <w:bCs/>
          <w:sz w:val="22"/>
          <w:szCs w:val="22"/>
        </w:rPr>
        <w:t xml:space="preserve">: </w:t>
      </w:r>
      <w:r w:rsidRPr="00137CE7">
        <w:rPr>
          <w:rFonts w:ascii="Arial" w:hAnsi="Arial" w:cs="Arial"/>
          <w:sz w:val="22"/>
          <w:szCs w:val="22"/>
        </w:rPr>
        <w:t xml:space="preserve">Developing a recombinant ESC-NDKL1 vaccine with the </w:t>
      </w:r>
      <w:proofErr w:type="spellStart"/>
      <w:r w:rsidRPr="00137CE7">
        <w:rPr>
          <w:rFonts w:ascii="Arial" w:hAnsi="Arial" w:cs="Arial"/>
          <w:sz w:val="22"/>
          <w:szCs w:val="22"/>
        </w:rPr>
        <w:t>tadZ</w:t>
      </w:r>
      <w:proofErr w:type="spellEnd"/>
      <w:r w:rsidRPr="00137CE7">
        <w:rPr>
          <w:rFonts w:ascii="Arial" w:hAnsi="Arial" w:cs="Arial"/>
          <w:sz w:val="22"/>
          <w:szCs w:val="22"/>
        </w:rPr>
        <w:t xml:space="preserve"> gene will increase</w:t>
      </w:r>
      <w:r w:rsidRPr="00137CE7">
        <w:rPr>
          <w:rFonts w:ascii="Arial" w:hAnsi="Arial" w:cs="Arial"/>
          <w:sz w:val="22"/>
          <w:szCs w:val="22"/>
        </w:rPr>
        <w:t xml:space="preserve"> </w:t>
      </w:r>
      <w:r w:rsidRPr="00137CE7">
        <w:rPr>
          <w:rFonts w:ascii="Arial" w:hAnsi="Arial" w:cs="Arial"/>
          <w:sz w:val="22"/>
          <w:szCs w:val="22"/>
        </w:rPr>
        <w:t xml:space="preserve">survivability to </w:t>
      </w:r>
      <w:proofErr w:type="spellStart"/>
      <w:r w:rsidRPr="00137CE7">
        <w:rPr>
          <w:rFonts w:ascii="Arial" w:hAnsi="Arial" w:cs="Arial"/>
          <w:sz w:val="22"/>
          <w:szCs w:val="22"/>
        </w:rPr>
        <w:t>vAh</w:t>
      </w:r>
      <w:proofErr w:type="spellEnd"/>
      <w:r w:rsidRPr="00137CE7">
        <w:rPr>
          <w:rFonts w:ascii="Arial" w:hAnsi="Arial" w:cs="Arial"/>
          <w:sz w:val="22"/>
          <w:szCs w:val="22"/>
        </w:rPr>
        <w:t xml:space="preserve"> challenge compared to non-recombinant vaccines.</w:t>
      </w:r>
    </w:p>
    <w:p w14:paraId="336D23B3" w14:textId="2F7BE10D"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w:t>
      </w:r>
      <w:r w:rsidRPr="00137CE7">
        <w:rPr>
          <w:rFonts w:ascii="Arial" w:hAnsi="Arial" w:cs="Arial"/>
          <w:sz w:val="22"/>
          <w:szCs w:val="22"/>
        </w:rPr>
        <w:t xml:space="preserve">1) Incorporate </w:t>
      </w:r>
      <w:proofErr w:type="spellStart"/>
      <w:r w:rsidRPr="00137CE7">
        <w:rPr>
          <w:rFonts w:ascii="Arial" w:hAnsi="Arial" w:cs="Arial"/>
          <w:sz w:val="22"/>
          <w:szCs w:val="22"/>
        </w:rPr>
        <w:t>tadZ</w:t>
      </w:r>
      <w:proofErr w:type="spellEnd"/>
      <w:r w:rsidRPr="00137CE7">
        <w:rPr>
          <w:rFonts w:ascii="Arial" w:hAnsi="Arial" w:cs="Arial"/>
          <w:sz w:val="22"/>
          <w:szCs w:val="22"/>
        </w:rPr>
        <w:t xml:space="preserve"> gene into ESC-NDKL1 to yield vaccine candidates expressing</w:t>
      </w:r>
      <w:r w:rsidRPr="00137CE7">
        <w:rPr>
          <w:rFonts w:ascii="Arial" w:hAnsi="Arial" w:cs="Arial"/>
          <w:sz w:val="22"/>
          <w:szCs w:val="22"/>
        </w:rPr>
        <w:t xml:space="preserve"> </w:t>
      </w:r>
      <w:r w:rsidRPr="00137CE7">
        <w:rPr>
          <w:rFonts w:ascii="Arial" w:hAnsi="Arial" w:cs="Arial"/>
          <w:sz w:val="22"/>
          <w:szCs w:val="22"/>
        </w:rPr>
        <w:t xml:space="preserve">single and triple combinations of recombinant </w:t>
      </w:r>
      <w:proofErr w:type="spellStart"/>
      <w:r w:rsidRPr="00137CE7">
        <w:rPr>
          <w:rFonts w:ascii="Arial" w:hAnsi="Arial" w:cs="Arial"/>
          <w:sz w:val="22"/>
          <w:szCs w:val="22"/>
        </w:rPr>
        <w:t>vAh</w:t>
      </w:r>
      <w:proofErr w:type="spellEnd"/>
      <w:r w:rsidRPr="00137CE7">
        <w:rPr>
          <w:rFonts w:ascii="Arial" w:hAnsi="Arial" w:cs="Arial"/>
          <w:sz w:val="22"/>
          <w:szCs w:val="22"/>
        </w:rPr>
        <w:t xml:space="preserve"> antigens</w:t>
      </w:r>
      <w:r w:rsidRPr="00137CE7">
        <w:rPr>
          <w:rFonts w:ascii="Arial" w:hAnsi="Arial" w:cs="Arial"/>
          <w:sz w:val="22"/>
          <w:szCs w:val="22"/>
        </w:rPr>
        <w:t xml:space="preserve">; </w:t>
      </w:r>
      <w:r w:rsidRPr="00137CE7">
        <w:rPr>
          <w:rFonts w:ascii="Arial" w:hAnsi="Arial" w:cs="Arial"/>
          <w:sz w:val="22"/>
          <w:szCs w:val="22"/>
        </w:rPr>
        <w:t xml:space="preserve">2) Evaluate protective effect of developed vaccines against </w:t>
      </w:r>
      <w:proofErr w:type="spellStart"/>
      <w:r w:rsidRPr="00137CE7">
        <w:rPr>
          <w:rFonts w:ascii="Arial" w:hAnsi="Arial" w:cs="Arial"/>
          <w:sz w:val="22"/>
          <w:szCs w:val="22"/>
        </w:rPr>
        <w:t>vAh</w:t>
      </w:r>
      <w:proofErr w:type="spellEnd"/>
      <w:r w:rsidRPr="00137CE7">
        <w:rPr>
          <w:rFonts w:ascii="Arial" w:hAnsi="Arial" w:cs="Arial"/>
          <w:sz w:val="22"/>
          <w:szCs w:val="22"/>
        </w:rPr>
        <w:t xml:space="preserve"> challenge</w:t>
      </w:r>
      <w:r w:rsidRPr="00137CE7">
        <w:rPr>
          <w:rFonts w:ascii="Arial" w:hAnsi="Arial" w:cs="Arial"/>
          <w:sz w:val="22"/>
          <w:szCs w:val="22"/>
        </w:rPr>
        <w:t>.</w:t>
      </w:r>
    </w:p>
    <w:p w14:paraId="18E6661F" w14:textId="43A98542"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 xml:space="preserve">: </w:t>
      </w:r>
      <w:r w:rsidRPr="00137CE7">
        <w:rPr>
          <w:rFonts w:ascii="Arial" w:hAnsi="Arial" w:cs="Arial"/>
          <w:sz w:val="22"/>
          <w:szCs w:val="22"/>
        </w:rPr>
        <w:t>Vaccines were developed by performing site-specific recombination in non-recombinant</w:t>
      </w:r>
      <w:r w:rsidRPr="00137CE7">
        <w:rPr>
          <w:rFonts w:ascii="Arial" w:hAnsi="Arial" w:cs="Arial"/>
          <w:sz w:val="22"/>
          <w:szCs w:val="22"/>
        </w:rPr>
        <w:t xml:space="preserve"> </w:t>
      </w:r>
      <w:r w:rsidRPr="00137CE7">
        <w:rPr>
          <w:rFonts w:ascii="Arial" w:hAnsi="Arial" w:cs="Arial"/>
          <w:sz w:val="22"/>
          <w:szCs w:val="22"/>
        </w:rPr>
        <w:t xml:space="preserve">and double-recombinant ESC-NDKL1. Insertion of </w:t>
      </w:r>
      <w:proofErr w:type="spellStart"/>
      <w:r w:rsidRPr="00137CE7">
        <w:rPr>
          <w:rFonts w:ascii="Arial" w:hAnsi="Arial" w:cs="Arial"/>
          <w:sz w:val="22"/>
          <w:szCs w:val="22"/>
        </w:rPr>
        <w:t>tadZ</w:t>
      </w:r>
      <w:proofErr w:type="spellEnd"/>
      <w:r w:rsidRPr="00137CE7">
        <w:rPr>
          <w:rFonts w:ascii="Arial" w:hAnsi="Arial" w:cs="Arial"/>
          <w:sz w:val="22"/>
          <w:szCs w:val="22"/>
        </w:rPr>
        <w:t xml:space="preserve"> was confirmed by PCR and</w:t>
      </w:r>
      <w:r w:rsidRPr="00137CE7">
        <w:rPr>
          <w:rFonts w:ascii="Arial" w:hAnsi="Arial" w:cs="Arial"/>
          <w:sz w:val="22"/>
          <w:szCs w:val="22"/>
        </w:rPr>
        <w:t xml:space="preserve"> </w:t>
      </w:r>
      <w:r w:rsidRPr="00137CE7">
        <w:rPr>
          <w:rFonts w:ascii="Arial" w:hAnsi="Arial" w:cs="Arial"/>
          <w:sz w:val="22"/>
          <w:szCs w:val="22"/>
        </w:rPr>
        <w:t>Sanger sequencing. Catfish were vaccinated by immersion at 26 °C and challenged</w:t>
      </w:r>
      <w:r w:rsidRPr="00137CE7">
        <w:rPr>
          <w:rFonts w:ascii="Arial" w:hAnsi="Arial" w:cs="Arial"/>
          <w:sz w:val="22"/>
          <w:szCs w:val="22"/>
        </w:rPr>
        <w:t xml:space="preserve"> </w:t>
      </w:r>
      <w:r w:rsidRPr="00137CE7">
        <w:rPr>
          <w:rFonts w:ascii="Arial" w:hAnsi="Arial" w:cs="Arial"/>
          <w:sz w:val="22"/>
          <w:szCs w:val="22"/>
        </w:rPr>
        <w:t xml:space="preserve">with </w:t>
      </w:r>
      <w:proofErr w:type="spellStart"/>
      <w:r w:rsidRPr="00137CE7">
        <w:rPr>
          <w:rFonts w:ascii="Arial" w:hAnsi="Arial" w:cs="Arial"/>
          <w:sz w:val="22"/>
          <w:szCs w:val="22"/>
        </w:rPr>
        <w:t>vAh</w:t>
      </w:r>
      <w:proofErr w:type="spellEnd"/>
      <w:r w:rsidRPr="00137CE7">
        <w:rPr>
          <w:rFonts w:ascii="Arial" w:hAnsi="Arial" w:cs="Arial"/>
          <w:sz w:val="22"/>
          <w:szCs w:val="22"/>
        </w:rPr>
        <w:t xml:space="preserve"> at 30 °C on day 21. On day 20, serum was obtained from two fish/tank to</w:t>
      </w:r>
      <w:r w:rsidRPr="00137CE7">
        <w:rPr>
          <w:rFonts w:ascii="Arial" w:hAnsi="Arial" w:cs="Arial"/>
          <w:sz w:val="22"/>
          <w:szCs w:val="22"/>
        </w:rPr>
        <w:t xml:space="preserve"> </w:t>
      </w:r>
      <w:r w:rsidRPr="00137CE7">
        <w:rPr>
          <w:rFonts w:ascii="Arial" w:hAnsi="Arial" w:cs="Arial"/>
          <w:sz w:val="22"/>
          <w:szCs w:val="22"/>
        </w:rPr>
        <w:t>measure antibody response with indirect ELISA. Mortality was recorded per tank per</w:t>
      </w:r>
    </w:p>
    <w:p w14:paraId="59E86098" w14:textId="77777777"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sz w:val="22"/>
          <w:szCs w:val="22"/>
        </w:rPr>
        <w:t>day. Data were analyzed using one-way ANOVA with PROC GLM in SAS 9.4.</w:t>
      </w:r>
    </w:p>
    <w:p w14:paraId="568A1409" w14:textId="3426EE21" w:rsidR="00AC3CA4" w:rsidRPr="00137CE7" w:rsidRDefault="00AC3CA4"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 xml:space="preserve">: </w:t>
      </w:r>
      <w:r w:rsidRPr="00137CE7">
        <w:rPr>
          <w:rFonts w:ascii="Arial" w:hAnsi="Arial" w:cs="Arial"/>
          <w:sz w:val="22"/>
          <w:szCs w:val="22"/>
        </w:rPr>
        <w:t xml:space="preserve">Catfish vaccinated with recombinant ESC-NDKL1 expressing </w:t>
      </w:r>
      <w:proofErr w:type="spellStart"/>
      <w:r w:rsidRPr="00137CE7">
        <w:rPr>
          <w:rFonts w:ascii="Arial" w:hAnsi="Arial" w:cs="Arial"/>
          <w:sz w:val="22"/>
          <w:szCs w:val="22"/>
        </w:rPr>
        <w:t>vAh</w:t>
      </w:r>
      <w:proofErr w:type="spellEnd"/>
      <w:r w:rsidRPr="00137CE7">
        <w:rPr>
          <w:rFonts w:ascii="Arial" w:hAnsi="Arial" w:cs="Arial"/>
          <w:sz w:val="22"/>
          <w:szCs w:val="22"/>
        </w:rPr>
        <w:t xml:space="preserve"> antigens showed</w:t>
      </w:r>
      <w:r w:rsidRPr="00137CE7">
        <w:rPr>
          <w:rFonts w:ascii="Arial" w:hAnsi="Arial" w:cs="Arial"/>
          <w:sz w:val="22"/>
          <w:szCs w:val="22"/>
        </w:rPr>
        <w:t xml:space="preserve"> </w:t>
      </w:r>
      <w:r w:rsidRPr="00137CE7">
        <w:rPr>
          <w:rFonts w:ascii="Arial" w:hAnsi="Arial" w:cs="Arial"/>
          <w:sz w:val="22"/>
          <w:szCs w:val="22"/>
        </w:rPr>
        <w:t xml:space="preserve">increased survivability compared to sham vaccinated catfish, with the </w:t>
      </w:r>
      <w:proofErr w:type="spellStart"/>
      <w:r w:rsidRPr="00137CE7">
        <w:rPr>
          <w:rFonts w:ascii="Arial" w:hAnsi="Arial" w:cs="Arial"/>
          <w:sz w:val="22"/>
          <w:szCs w:val="22"/>
        </w:rPr>
        <w:t>singlerecombinant</w:t>
      </w:r>
      <w:proofErr w:type="spellEnd"/>
      <w:r w:rsidRPr="00137CE7">
        <w:rPr>
          <w:rFonts w:ascii="Arial" w:hAnsi="Arial" w:cs="Arial"/>
          <w:sz w:val="22"/>
          <w:szCs w:val="22"/>
        </w:rPr>
        <w:t xml:space="preserve"> expressing </w:t>
      </w:r>
      <w:proofErr w:type="spellStart"/>
      <w:r w:rsidRPr="00137CE7">
        <w:rPr>
          <w:rFonts w:ascii="Arial" w:hAnsi="Arial" w:cs="Arial"/>
          <w:sz w:val="22"/>
          <w:szCs w:val="22"/>
        </w:rPr>
        <w:t>TadZ</w:t>
      </w:r>
      <w:proofErr w:type="spellEnd"/>
      <w:r w:rsidRPr="00137CE7">
        <w:rPr>
          <w:rFonts w:ascii="Arial" w:hAnsi="Arial" w:cs="Arial"/>
          <w:sz w:val="22"/>
          <w:szCs w:val="22"/>
        </w:rPr>
        <w:t xml:space="preserve"> showing the highest survivability. Surprisingly, nonrecombinant</w:t>
      </w:r>
      <w:r w:rsidRPr="00137CE7">
        <w:rPr>
          <w:rFonts w:ascii="Arial" w:hAnsi="Arial" w:cs="Arial"/>
          <w:sz w:val="22"/>
          <w:szCs w:val="22"/>
        </w:rPr>
        <w:t xml:space="preserve"> </w:t>
      </w:r>
      <w:r w:rsidRPr="00137CE7">
        <w:rPr>
          <w:rFonts w:ascii="Arial" w:hAnsi="Arial" w:cs="Arial"/>
          <w:sz w:val="22"/>
          <w:szCs w:val="22"/>
        </w:rPr>
        <w:t>ESC-NDKL1 had similar protection compared to the single recombinant</w:t>
      </w:r>
      <w:r w:rsidRPr="00137CE7">
        <w:rPr>
          <w:rFonts w:ascii="Arial" w:hAnsi="Arial" w:cs="Arial"/>
          <w:sz w:val="22"/>
          <w:szCs w:val="22"/>
        </w:rPr>
        <w:t xml:space="preserve"> </w:t>
      </w:r>
      <w:r w:rsidRPr="00137CE7">
        <w:rPr>
          <w:rFonts w:ascii="Arial" w:hAnsi="Arial" w:cs="Arial"/>
          <w:sz w:val="22"/>
          <w:szCs w:val="22"/>
        </w:rPr>
        <w:t xml:space="preserve">ESC-NDKL1 expressing </w:t>
      </w:r>
      <w:proofErr w:type="spellStart"/>
      <w:r w:rsidRPr="00137CE7">
        <w:rPr>
          <w:rFonts w:ascii="Arial" w:hAnsi="Arial" w:cs="Arial"/>
          <w:sz w:val="22"/>
          <w:szCs w:val="22"/>
        </w:rPr>
        <w:t>TadZ</w:t>
      </w:r>
      <w:proofErr w:type="spellEnd"/>
      <w:r w:rsidRPr="00137CE7">
        <w:rPr>
          <w:rFonts w:ascii="Arial" w:hAnsi="Arial" w:cs="Arial"/>
          <w:sz w:val="22"/>
          <w:szCs w:val="22"/>
        </w:rPr>
        <w:t>.</w:t>
      </w:r>
    </w:p>
    <w:p w14:paraId="3A7C0011" w14:textId="1C2870FB" w:rsidR="00AC3CA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i/>
          <w:iCs/>
          <w:sz w:val="22"/>
          <w:szCs w:val="22"/>
        </w:rPr>
        <w:t>Conclusions</w:t>
      </w:r>
      <w:r w:rsidRPr="00137CE7">
        <w:rPr>
          <w:rFonts w:ascii="Arial" w:hAnsi="Arial" w:cs="Arial"/>
          <w:b/>
          <w:bCs/>
          <w:sz w:val="22"/>
          <w:szCs w:val="22"/>
        </w:rPr>
        <w:t xml:space="preserve">: </w:t>
      </w:r>
      <w:r w:rsidRPr="00137CE7">
        <w:rPr>
          <w:rFonts w:ascii="Arial" w:hAnsi="Arial" w:cs="Arial"/>
          <w:sz w:val="22"/>
          <w:szCs w:val="22"/>
        </w:rPr>
        <w:t xml:space="preserve">Recombinant vaccines expressing </w:t>
      </w:r>
      <w:proofErr w:type="spellStart"/>
      <w:r w:rsidRPr="00137CE7">
        <w:rPr>
          <w:rFonts w:ascii="Arial" w:hAnsi="Arial" w:cs="Arial"/>
          <w:sz w:val="22"/>
          <w:szCs w:val="22"/>
        </w:rPr>
        <w:t>TadZ</w:t>
      </w:r>
      <w:proofErr w:type="spellEnd"/>
      <w:r w:rsidRPr="00137CE7">
        <w:rPr>
          <w:rFonts w:ascii="Arial" w:hAnsi="Arial" w:cs="Arial"/>
          <w:sz w:val="22"/>
          <w:szCs w:val="22"/>
        </w:rPr>
        <w:t xml:space="preserve"> provided significant protection against </w:t>
      </w:r>
      <w:proofErr w:type="spellStart"/>
      <w:r w:rsidRPr="00137CE7">
        <w:rPr>
          <w:rFonts w:ascii="Arial" w:hAnsi="Arial" w:cs="Arial"/>
          <w:sz w:val="22"/>
          <w:szCs w:val="22"/>
        </w:rPr>
        <w:t>vAh</w:t>
      </w:r>
      <w:proofErr w:type="spellEnd"/>
      <w:r w:rsidRPr="00137CE7">
        <w:rPr>
          <w:rFonts w:ascii="Arial" w:hAnsi="Arial" w:cs="Arial"/>
          <w:sz w:val="22"/>
          <w:szCs w:val="22"/>
        </w:rPr>
        <w:t xml:space="preserve"> </w:t>
      </w:r>
      <w:r w:rsidRPr="00137CE7">
        <w:rPr>
          <w:rFonts w:ascii="Arial" w:hAnsi="Arial" w:cs="Arial"/>
          <w:sz w:val="22"/>
          <w:szCs w:val="22"/>
        </w:rPr>
        <w:t>infection, but the contribution of the carrier ESC-NDKL1 needs to be further evaluated.</w:t>
      </w:r>
    </w:p>
    <w:p w14:paraId="7B9D5AFA" w14:textId="77777777" w:rsidR="00AC3CA4" w:rsidRPr="00137CE7" w:rsidRDefault="00AC3CA4" w:rsidP="006A1E38">
      <w:pPr>
        <w:spacing w:line="240" w:lineRule="auto"/>
        <w:contextualSpacing/>
        <w:jc w:val="both"/>
        <w:rPr>
          <w:rFonts w:ascii="Arial" w:hAnsi="Arial" w:cs="Arial"/>
          <w:b/>
          <w:bCs/>
          <w:sz w:val="22"/>
          <w:szCs w:val="22"/>
        </w:rPr>
      </w:pPr>
    </w:p>
    <w:p w14:paraId="58499399" w14:textId="16592D67" w:rsidR="004A5A04" w:rsidRPr="00137CE7" w:rsidRDefault="00AC3CA4" w:rsidP="006A1E38">
      <w:pPr>
        <w:spacing w:line="240" w:lineRule="auto"/>
        <w:contextualSpacing/>
        <w:jc w:val="both"/>
        <w:rPr>
          <w:rFonts w:ascii="Arial" w:hAnsi="Arial" w:cs="Arial"/>
          <w:b/>
          <w:bCs/>
          <w:sz w:val="22"/>
          <w:szCs w:val="22"/>
        </w:rPr>
      </w:pPr>
      <w:r w:rsidRPr="00137CE7">
        <w:rPr>
          <w:rFonts w:ascii="Arial" w:hAnsi="Arial" w:cs="Arial"/>
          <w:b/>
          <w:bCs/>
          <w:sz w:val="22"/>
          <w:szCs w:val="22"/>
        </w:rPr>
        <w:t xml:space="preserve">Funding: </w:t>
      </w:r>
      <w:r w:rsidR="004A5A04" w:rsidRPr="00137CE7">
        <w:rPr>
          <w:rFonts w:ascii="Arial" w:hAnsi="Arial" w:cs="Arial"/>
          <w:color w:val="000000"/>
          <w:kern w:val="0"/>
          <w:sz w:val="22"/>
          <w:szCs w:val="22"/>
        </w:rPr>
        <w:t>National Institutes of Health T35OD010432</w:t>
      </w:r>
      <w:r w:rsidR="00B404C6">
        <w:rPr>
          <w:rFonts w:ascii="Arial" w:hAnsi="Arial" w:cs="Arial"/>
          <w:color w:val="000000"/>
          <w:kern w:val="0"/>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p w14:paraId="30D84832" w14:textId="77777777" w:rsidR="00704E00" w:rsidRPr="00137CE7" w:rsidRDefault="00704E00" w:rsidP="006A1E38">
      <w:pPr>
        <w:spacing w:line="240" w:lineRule="auto"/>
        <w:contextualSpacing/>
        <w:jc w:val="both"/>
        <w:rPr>
          <w:rFonts w:ascii="Arial" w:hAnsi="Arial" w:cs="Arial"/>
          <w:sz w:val="22"/>
          <w:szCs w:val="22"/>
        </w:rPr>
      </w:pPr>
    </w:p>
    <w:p w14:paraId="6F95F347"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p>
    <w:p w14:paraId="66A2EC1E" w14:textId="18009DEC" w:rsidR="00AC3CA4" w:rsidRPr="00137CE7" w:rsidRDefault="00AC3CA4" w:rsidP="006A1E38">
      <w:pPr>
        <w:autoSpaceDE w:val="0"/>
        <w:autoSpaceDN w:val="0"/>
        <w:adjustRightInd w:val="0"/>
        <w:spacing w:after="0" w:line="240" w:lineRule="auto"/>
        <w:contextualSpacing/>
        <w:jc w:val="both"/>
        <w:rPr>
          <w:rFonts w:ascii="Arial" w:hAnsi="Arial" w:cs="Arial"/>
          <w:b/>
          <w:bCs/>
          <w:color w:val="000000"/>
          <w:kern w:val="0"/>
          <w:sz w:val="22"/>
          <w:szCs w:val="22"/>
        </w:rPr>
      </w:pPr>
      <w:r w:rsidRPr="00137CE7">
        <w:rPr>
          <w:rFonts w:ascii="Arial" w:hAnsi="Arial" w:cs="Arial"/>
          <w:b/>
          <w:bCs/>
          <w:color w:val="000000"/>
          <w:kern w:val="0"/>
          <w:sz w:val="22"/>
          <w:szCs w:val="22"/>
          <w:u w:val="single"/>
        </w:rPr>
        <w:t>Title:</w:t>
      </w:r>
      <w:r w:rsidRPr="00137CE7">
        <w:rPr>
          <w:rFonts w:ascii="Arial" w:hAnsi="Arial" w:cs="Arial"/>
          <w:color w:val="000000"/>
          <w:kern w:val="0"/>
          <w:sz w:val="22"/>
          <w:szCs w:val="22"/>
        </w:rPr>
        <w:t xml:space="preserve"> </w:t>
      </w:r>
      <w:r w:rsidRPr="00137CE7">
        <w:rPr>
          <w:rFonts w:ascii="Arial" w:hAnsi="Arial" w:cs="Arial"/>
          <w:b/>
          <w:bCs/>
          <w:color w:val="000000"/>
          <w:kern w:val="0"/>
          <w:sz w:val="22"/>
          <w:szCs w:val="22"/>
        </w:rPr>
        <w:t xml:space="preserve">EFFICIENCY OF THE PROPHYLACTIC DRUG PYRIDOSTIGMINE BROMIDE AGAINST ACUTE NERVE AGENT EXPOSURE; INITIAL IMPACTS </w:t>
      </w:r>
    </w:p>
    <w:p w14:paraId="7CD68A10"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p>
    <w:p w14:paraId="1349285F"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r w:rsidRPr="00137CE7">
        <w:rPr>
          <w:rFonts w:ascii="Arial" w:hAnsi="Arial" w:cs="Arial"/>
          <w:b/>
          <w:bCs/>
          <w:color w:val="000000"/>
          <w:kern w:val="0"/>
          <w:sz w:val="22"/>
          <w:szCs w:val="22"/>
        </w:rPr>
        <w:t>Kristen M. Johnson</w:t>
      </w:r>
      <w:r w:rsidRPr="00137CE7">
        <w:rPr>
          <w:rFonts w:ascii="Arial" w:hAnsi="Arial" w:cs="Arial"/>
          <w:color w:val="000000"/>
          <w:kern w:val="0"/>
          <w:sz w:val="22"/>
          <w:szCs w:val="22"/>
        </w:rPr>
        <w:t xml:space="preserve">, Nicole A. Busby, Janice E. Chambers, Kendall N. McKinnon, Edward C. Meek, Shirley X. Guo-Ross, </w:t>
      </w:r>
      <w:r w:rsidRPr="00137CE7">
        <w:rPr>
          <w:rFonts w:ascii="Arial" w:hAnsi="Arial" w:cs="Arial"/>
          <w:i/>
          <w:iCs/>
          <w:color w:val="000000"/>
          <w:kern w:val="0"/>
          <w:sz w:val="22"/>
          <w:szCs w:val="22"/>
        </w:rPr>
        <w:t>Russell L. Carr</w:t>
      </w:r>
      <w:r w:rsidRPr="00137CE7">
        <w:rPr>
          <w:rFonts w:ascii="Arial" w:hAnsi="Arial" w:cs="Arial"/>
          <w:color w:val="000000"/>
          <w:kern w:val="0"/>
          <w:sz w:val="22"/>
          <w:szCs w:val="22"/>
        </w:rPr>
        <w:t xml:space="preserve"> </w:t>
      </w:r>
    </w:p>
    <w:p w14:paraId="15CAA277"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p>
    <w:p w14:paraId="789E8672"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r w:rsidRPr="00137CE7">
        <w:rPr>
          <w:rFonts w:ascii="Arial" w:hAnsi="Arial" w:cs="Arial"/>
          <w:color w:val="000000"/>
          <w:kern w:val="0"/>
          <w:sz w:val="22"/>
          <w:szCs w:val="22"/>
        </w:rPr>
        <w:t xml:space="preserve">Department of Comparative Biomedical Sciences, College of Veterinary Medicine, Mississippi State University, Mississippi State, Mississippi </w:t>
      </w:r>
    </w:p>
    <w:p w14:paraId="7498BD9F"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 xml:space="preserve">Background: </w:t>
      </w:r>
      <w:r w:rsidRPr="00137CE7">
        <w:rPr>
          <w:rFonts w:ascii="Arial" w:hAnsi="Arial" w:cs="Arial"/>
          <w:color w:val="000000"/>
          <w:kern w:val="0"/>
          <w:sz w:val="22"/>
          <w:szCs w:val="22"/>
        </w:rPr>
        <w:t xml:space="preserve">Organophosphate (OPs) nerve agents cause toxicity through brain acetylcholinesterase inhibition, acetylcholine accumulation, and cholinergic overstimulation. Pyridostigmine Bromide (PB) has been used as a prophylactic in military personnel to protect against nerve agent exposure. PB temporarily inhibits peripheral cholinesterase (ChE), and its rapid recovery is thought to be beneficial during a nerve agent exposure. However, previous related research included antidotes in the exposure scenario, leading to questions about the efficiency of PB against nerve agent attacks. </w:t>
      </w:r>
    </w:p>
    <w:p w14:paraId="22AF607E"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 xml:space="preserve">Methods: </w:t>
      </w:r>
      <w:r w:rsidRPr="00137CE7">
        <w:rPr>
          <w:rFonts w:ascii="Arial" w:hAnsi="Arial" w:cs="Arial"/>
          <w:color w:val="000000"/>
          <w:kern w:val="0"/>
          <w:sz w:val="22"/>
          <w:szCs w:val="22"/>
        </w:rPr>
        <w:t xml:space="preserve">To investigate this, male rats were administered PB (0.65 mg/kg) orally for 21 days and then challenged with NIMP, a nerve agent surrogate, on day 21. There were four treatment groups: Control, PB, NIMP, and PB+NIMP. Four hours later, the gene expression of BDNF and c-Fos (cellular excitation) and GFAP (astrocyte activation) was measured in brain regions. </w:t>
      </w:r>
    </w:p>
    <w:p w14:paraId="3D15929F" w14:textId="77777777" w:rsidR="00AC3CA4" w:rsidRPr="00137CE7" w:rsidRDefault="00AC3CA4" w:rsidP="006A1E38">
      <w:pPr>
        <w:autoSpaceDE w:val="0"/>
        <w:autoSpaceDN w:val="0"/>
        <w:adjustRightInd w:val="0"/>
        <w:spacing w:after="0"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 xml:space="preserve">Results: </w:t>
      </w:r>
      <w:r w:rsidRPr="00137CE7">
        <w:rPr>
          <w:rFonts w:ascii="Arial" w:hAnsi="Arial" w:cs="Arial"/>
          <w:color w:val="000000"/>
          <w:kern w:val="0"/>
          <w:sz w:val="22"/>
          <w:szCs w:val="22"/>
        </w:rPr>
        <w:t>In the hippocampus, BDNF and GFAP were not affected, but both NIMP and PB+NIMP increased c-</w:t>
      </w:r>
      <w:proofErr w:type="gramStart"/>
      <w:r w:rsidRPr="00137CE7">
        <w:rPr>
          <w:rFonts w:ascii="Arial" w:hAnsi="Arial" w:cs="Arial"/>
          <w:color w:val="000000"/>
          <w:kern w:val="0"/>
          <w:sz w:val="22"/>
          <w:szCs w:val="22"/>
        </w:rPr>
        <w:t>Fos</w:t>
      </w:r>
      <w:proofErr w:type="gramEnd"/>
      <w:r w:rsidRPr="00137CE7">
        <w:rPr>
          <w:rFonts w:ascii="Arial" w:hAnsi="Arial" w:cs="Arial"/>
          <w:color w:val="000000"/>
          <w:kern w:val="0"/>
          <w:sz w:val="22"/>
          <w:szCs w:val="22"/>
        </w:rPr>
        <w:t xml:space="preserve"> expression. While BDNF remained unaltered in the piriform cortex, PB increased GFAP and c-</w:t>
      </w:r>
      <w:proofErr w:type="gramStart"/>
      <w:r w:rsidRPr="00137CE7">
        <w:rPr>
          <w:rFonts w:ascii="Arial" w:hAnsi="Arial" w:cs="Arial"/>
          <w:color w:val="000000"/>
          <w:kern w:val="0"/>
          <w:sz w:val="22"/>
          <w:szCs w:val="22"/>
        </w:rPr>
        <w:t>Fos</w:t>
      </w:r>
      <w:proofErr w:type="gramEnd"/>
      <w:r w:rsidRPr="00137CE7">
        <w:rPr>
          <w:rFonts w:ascii="Arial" w:hAnsi="Arial" w:cs="Arial"/>
          <w:color w:val="000000"/>
          <w:kern w:val="0"/>
          <w:sz w:val="22"/>
          <w:szCs w:val="22"/>
        </w:rPr>
        <w:t xml:space="preserve"> expression. This increase was further amplified by NIMP and PB+NIMP. In the amygdala, BDNF expression was variable. GFAP expression was decreased in the NIMP group, and pretreatment with PB further decreased this expression. The expression of c-Fos was slightly increased in the NIMP group, with a greater increase in the PB+NIMP group. </w:t>
      </w:r>
    </w:p>
    <w:p w14:paraId="578AADFF" w14:textId="2AC6293A" w:rsidR="00AC3CA4" w:rsidRPr="00137CE7" w:rsidRDefault="00AC3CA4"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 xml:space="preserve">Conclusion: </w:t>
      </w:r>
      <w:r w:rsidRPr="00137CE7">
        <w:rPr>
          <w:rFonts w:ascii="Arial" w:hAnsi="Arial" w:cs="Arial"/>
          <w:color w:val="000000"/>
          <w:kern w:val="0"/>
          <w:sz w:val="22"/>
          <w:szCs w:val="22"/>
        </w:rPr>
        <w:t>Our findings demonstrate that NIMP exposure induces neural excitation as indicated by c-</w:t>
      </w:r>
      <w:proofErr w:type="gramStart"/>
      <w:r w:rsidRPr="00137CE7">
        <w:rPr>
          <w:rFonts w:ascii="Arial" w:hAnsi="Arial" w:cs="Arial"/>
          <w:color w:val="000000"/>
          <w:kern w:val="0"/>
          <w:sz w:val="22"/>
          <w:szCs w:val="22"/>
        </w:rPr>
        <w:t>Fos</w:t>
      </w:r>
      <w:proofErr w:type="gramEnd"/>
      <w:r w:rsidRPr="00137CE7">
        <w:rPr>
          <w:rFonts w:ascii="Arial" w:hAnsi="Arial" w:cs="Arial"/>
          <w:color w:val="000000"/>
          <w:kern w:val="0"/>
          <w:sz w:val="22"/>
          <w:szCs w:val="22"/>
        </w:rPr>
        <w:t xml:space="preserve"> expression. PB seemed to enhance the effects of NIMP in the amygdala but not in the other two regions.</w:t>
      </w:r>
    </w:p>
    <w:p w14:paraId="7930D3CD" w14:textId="77777777" w:rsidR="004A5A04" w:rsidRPr="00137CE7" w:rsidRDefault="004A5A04" w:rsidP="006A1E38">
      <w:pPr>
        <w:spacing w:line="240" w:lineRule="auto"/>
        <w:contextualSpacing/>
        <w:jc w:val="both"/>
        <w:rPr>
          <w:rFonts w:ascii="Arial" w:hAnsi="Arial" w:cs="Arial"/>
          <w:color w:val="000000"/>
          <w:kern w:val="0"/>
          <w:sz w:val="22"/>
          <w:szCs w:val="22"/>
        </w:rPr>
      </w:pPr>
    </w:p>
    <w:p w14:paraId="4327EDAA" w14:textId="16DECFCC" w:rsidR="00AC3CA4" w:rsidRPr="00137CE7" w:rsidRDefault="00AC3CA4" w:rsidP="006A1E38">
      <w:pPr>
        <w:spacing w:line="240" w:lineRule="auto"/>
        <w:contextualSpacing/>
        <w:jc w:val="both"/>
        <w:rPr>
          <w:rFonts w:ascii="Arial" w:hAnsi="Arial" w:cs="Arial"/>
          <w:color w:val="000000"/>
          <w:kern w:val="0"/>
          <w:sz w:val="22"/>
          <w:szCs w:val="22"/>
        </w:rPr>
      </w:pPr>
      <w:r w:rsidRPr="00137CE7">
        <w:rPr>
          <w:rFonts w:ascii="Arial" w:hAnsi="Arial" w:cs="Arial"/>
          <w:b/>
          <w:bCs/>
          <w:color w:val="000000"/>
          <w:kern w:val="0"/>
          <w:sz w:val="22"/>
          <w:szCs w:val="22"/>
        </w:rPr>
        <w:t>Funding:</w:t>
      </w:r>
      <w:r w:rsidRPr="00137CE7">
        <w:rPr>
          <w:rFonts w:ascii="Arial" w:hAnsi="Arial" w:cs="Arial"/>
          <w:color w:val="000000"/>
          <w:kern w:val="0"/>
          <w:sz w:val="22"/>
          <w:szCs w:val="22"/>
        </w:rPr>
        <w:t xml:space="preserve"> </w:t>
      </w:r>
      <w:r w:rsidR="00222F38" w:rsidRPr="00137CE7">
        <w:rPr>
          <w:rFonts w:ascii="Arial" w:hAnsi="Arial" w:cs="Arial"/>
          <w:color w:val="000000"/>
          <w:kern w:val="0"/>
          <w:sz w:val="22"/>
          <w:szCs w:val="22"/>
        </w:rPr>
        <w:t>National Institutes of Health T35OD010432</w:t>
      </w:r>
      <w:r w:rsidR="00B404C6">
        <w:rPr>
          <w:rFonts w:ascii="Arial" w:hAnsi="Arial" w:cs="Arial"/>
          <w:color w:val="000000"/>
          <w:kern w:val="0"/>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p w14:paraId="33AD7084" w14:textId="77777777" w:rsidR="004A5A04" w:rsidRPr="00137CE7" w:rsidRDefault="004A5A04" w:rsidP="006A1E38">
      <w:pPr>
        <w:spacing w:line="240" w:lineRule="auto"/>
        <w:contextualSpacing/>
        <w:jc w:val="both"/>
        <w:rPr>
          <w:rFonts w:ascii="Arial" w:hAnsi="Arial" w:cs="Arial"/>
          <w:color w:val="000000"/>
          <w:kern w:val="0"/>
          <w:sz w:val="22"/>
          <w:szCs w:val="22"/>
        </w:rPr>
      </w:pPr>
    </w:p>
    <w:p w14:paraId="794CF98A" w14:textId="77777777" w:rsidR="00196850" w:rsidRPr="00137CE7" w:rsidRDefault="00196850" w:rsidP="006A1E38">
      <w:pPr>
        <w:spacing w:line="240" w:lineRule="auto"/>
        <w:contextualSpacing/>
        <w:jc w:val="both"/>
        <w:rPr>
          <w:rFonts w:ascii="Arial" w:hAnsi="Arial" w:cs="Arial"/>
          <w:color w:val="000000"/>
          <w:kern w:val="0"/>
          <w:sz w:val="22"/>
          <w:szCs w:val="22"/>
        </w:rPr>
      </w:pPr>
    </w:p>
    <w:p w14:paraId="02441E40" w14:textId="77777777" w:rsidR="00196850" w:rsidRPr="00137CE7" w:rsidRDefault="00196850" w:rsidP="006A1E38">
      <w:pPr>
        <w:spacing w:line="240" w:lineRule="auto"/>
        <w:contextualSpacing/>
        <w:jc w:val="both"/>
        <w:rPr>
          <w:rFonts w:ascii="Arial" w:hAnsi="Arial" w:cs="Arial"/>
          <w:b/>
          <w:sz w:val="22"/>
          <w:szCs w:val="22"/>
        </w:rPr>
      </w:pPr>
      <w:r w:rsidRPr="00137CE7">
        <w:rPr>
          <w:rFonts w:ascii="Arial" w:hAnsi="Arial" w:cs="Arial"/>
          <w:b/>
          <w:sz w:val="22"/>
          <w:szCs w:val="22"/>
          <w:u w:val="single"/>
        </w:rPr>
        <w:t>Title:</w:t>
      </w:r>
      <w:r w:rsidRPr="00137CE7">
        <w:rPr>
          <w:rFonts w:ascii="Arial" w:hAnsi="Arial" w:cs="Arial"/>
          <w:b/>
          <w:sz w:val="22"/>
          <w:szCs w:val="22"/>
        </w:rPr>
        <w:t xml:space="preserve"> APPLICATION OF OCULAR THERMOGRAPHY IN HOSPITALIZED CANINE PATIENTS</w:t>
      </w:r>
    </w:p>
    <w:p w14:paraId="04D3A835"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sz w:val="22"/>
          <w:szCs w:val="22"/>
        </w:rPr>
        <w:t xml:space="preserve">Authors: </w:t>
      </w:r>
      <w:r w:rsidRPr="00137CE7">
        <w:rPr>
          <w:rFonts w:ascii="Arial" w:hAnsi="Arial" w:cs="Arial"/>
          <w:b/>
          <w:sz w:val="22"/>
          <w:szCs w:val="22"/>
        </w:rPr>
        <w:t xml:space="preserve">Sophia Kessler, </w:t>
      </w:r>
      <w:r w:rsidRPr="00137CE7">
        <w:rPr>
          <w:rFonts w:ascii="Arial" w:hAnsi="Arial" w:cs="Arial"/>
          <w:i/>
          <w:iCs/>
          <w:sz w:val="22"/>
          <w:szCs w:val="22"/>
        </w:rPr>
        <w:t>Kimberly A. Woodruff</w:t>
      </w:r>
      <w:r w:rsidRPr="00137CE7">
        <w:rPr>
          <w:rFonts w:ascii="Arial" w:hAnsi="Arial" w:cs="Arial"/>
          <w:sz w:val="22"/>
          <w:szCs w:val="22"/>
        </w:rPr>
        <w:t xml:space="preserve">, Sahar Rostami, David R. Smith. </w:t>
      </w:r>
    </w:p>
    <w:p w14:paraId="0A493AEB" w14:textId="32551356"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sz w:val="22"/>
          <w:szCs w:val="22"/>
        </w:rPr>
        <w:t>Department of Pathobiology and Population Medicine, Mississippi State University College of Veterinary Medicine</w:t>
      </w:r>
    </w:p>
    <w:p w14:paraId="36660FA8" w14:textId="77777777" w:rsidR="00196850" w:rsidRPr="00137CE7" w:rsidRDefault="00196850" w:rsidP="006A1E38">
      <w:pPr>
        <w:spacing w:line="240" w:lineRule="auto"/>
        <w:contextualSpacing/>
        <w:jc w:val="both"/>
        <w:rPr>
          <w:rFonts w:ascii="Arial" w:hAnsi="Arial" w:cs="Arial"/>
          <w:sz w:val="22"/>
          <w:szCs w:val="22"/>
        </w:rPr>
      </w:pPr>
    </w:p>
    <w:p w14:paraId="0473790A"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iCs/>
          <w:sz w:val="22"/>
          <w:szCs w:val="22"/>
        </w:rPr>
        <w:t>Background</w:t>
      </w:r>
      <w:r w:rsidRPr="00137CE7">
        <w:rPr>
          <w:rFonts w:ascii="Arial" w:hAnsi="Arial" w:cs="Arial"/>
          <w:b/>
          <w:sz w:val="22"/>
          <w:szCs w:val="22"/>
        </w:rPr>
        <w:t xml:space="preserve">: </w:t>
      </w:r>
      <w:r w:rsidRPr="00137CE7">
        <w:rPr>
          <w:rFonts w:ascii="Arial" w:hAnsi="Arial" w:cs="Arial"/>
          <w:sz w:val="22"/>
          <w:szCs w:val="22"/>
        </w:rPr>
        <w:t>Rectal thermometry (RT) remains the diagnostic standard for assessing canine body temperature, yet it is invasive and compromises biosecurity protocols. Eye thermography (ET) presents a rapid, stress-free alternative, though its clinical application remains unestablished.</w:t>
      </w:r>
    </w:p>
    <w:p w14:paraId="5CF73718"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iCs/>
          <w:sz w:val="22"/>
          <w:szCs w:val="22"/>
        </w:rPr>
        <w:t>Objective</w:t>
      </w:r>
      <w:r w:rsidRPr="00137CE7">
        <w:rPr>
          <w:rFonts w:ascii="Arial" w:hAnsi="Arial" w:cs="Arial"/>
          <w:b/>
          <w:sz w:val="22"/>
          <w:szCs w:val="22"/>
        </w:rPr>
        <w:t xml:space="preserve">: </w:t>
      </w:r>
      <w:r w:rsidRPr="00137CE7">
        <w:rPr>
          <w:rFonts w:ascii="Arial" w:hAnsi="Arial" w:cs="Arial"/>
          <w:sz w:val="22"/>
          <w:szCs w:val="22"/>
        </w:rPr>
        <w:t>To evaluate the agreement between ET and RT in a diverse clinical canine population.</w:t>
      </w:r>
    </w:p>
    <w:p w14:paraId="6C6670FD"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iCs/>
          <w:sz w:val="22"/>
          <w:szCs w:val="22"/>
        </w:rPr>
        <w:t>Methods</w:t>
      </w:r>
      <w:r w:rsidRPr="00137CE7">
        <w:rPr>
          <w:rFonts w:ascii="Arial" w:hAnsi="Arial" w:cs="Arial"/>
          <w:b/>
          <w:sz w:val="22"/>
          <w:szCs w:val="22"/>
        </w:rPr>
        <w:t xml:space="preserve">: </w:t>
      </w:r>
      <w:r w:rsidRPr="00137CE7">
        <w:rPr>
          <w:rFonts w:ascii="Arial" w:hAnsi="Arial" w:cs="Arial"/>
          <w:sz w:val="22"/>
          <w:szCs w:val="22"/>
        </w:rPr>
        <w:t xml:space="preserve">This study was conducted at an animal emergency center. Each dog's RT and ET </w:t>
      </w:r>
      <w:proofErr w:type="gramStart"/>
      <w:r w:rsidRPr="00137CE7">
        <w:rPr>
          <w:rFonts w:ascii="Arial" w:hAnsi="Arial" w:cs="Arial"/>
          <w:sz w:val="22"/>
          <w:szCs w:val="22"/>
        </w:rPr>
        <w:t>was</w:t>
      </w:r>
      <w:proofErr w:type="gramEnd"/>
      <w:r w:rsidRPr="00137CE7">
        <w:rPr>
          <w:rFonts w:ascii="Arial" w:hAnsi="Arial" w:cs="Arial"/>
          <w:sz w:val="22"/>
          <w:szCs w:val="22"/>
        </w:rPr>
        <w:t xml:space="preserve"> measured, and the highest temperature recorded in either eye was recorded for statistical analysis. Relationships were modeled, using linear regression and Pearson correlation. </w:t>
      </w:r>
      <w:proofErr w:type="spellStart"/>
      <w:r w:rsidRPr="00137CE7">
        <w:rPr>
          <w:rFonts w:ascii="Arial" w:hAnsi="Arial" w:cs="Arial"/>
          <w:sz w:val="22"/>
          <w:szCs w:val="22"/>
        </w:rPr>
        <w:t>Gwet's</w:t>
      </w:r>
      <w:proofErr w:type="spellEnd"/>
      <w:r w:rsidRPr="00137CE7">
        <w:rPr>
          <w:rFonts w:ascii="Arial" w:hAnsi="Arial" w:cs="Arial"/>
          <w:sz w:val="22"/>
          <w:szCs w:val="22"/>
        </w:rPr>
        <w:t xml:space="preserve"> AC2 agreement was estimated for categorical agreement (hypothermia, euthermia, hyperthermia) across three previously reported RT reference intervals, representing independent classification schemes. Statistical significance was defined at p &lt; 0.05.</w:t>
      </w:r>
    </w:p>
    <w:p w14:paraId="5667935B"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iCs/>
          <w:sz w:val="22"/>
          <w:szCs w:val="22"/>
        </w:rPr>
        <w:t>Results</w:t>
      </w:r>
      <w:r w:rsidRPr="00137CE7">
        <w:rPr>
          <w:rFonts w:ascii="Arial" w:hAnsi="Arial" w:cs="Arial"/>
          <w:b/>
          <w:sz w:val="22"/>
          <w:szCs w:val="22"/>
        </w:rPr>
        <w:t xml:space="preserve">: </w:t>
      </w:r>
      <w:r w:rsidRPr="00137CE7">
        <w:rPr>
          <w:rFonts w:ascii="Arial" w:hAnsi="Arial" w:cs="Arial"/>
          <w:sz w:val="22"/>
          <w:szCs w:val="22"/>
        </w:rPr>
        <w:t xml:space="preserve">This study included a population of 39 clinical canine patients presenting with various pathologies (including respiratory infections, snake envenomation, and physical therapy rehabilitation). Multivariable regression identified RT as the only significant variable associated with ET ( =0.6, p= 0.01). Correlation analysis revealed a weak but statistically significant positive </w:t>
      </w:r>
      <w:r w:rsidRPr="00137CE7">
        <w:rPr>
          <w:rFonts w:ascii="Arial" w:hAnsi="Arial" w:cs="Arial"/>
          <w:sz w:val="22"/>
          <w:szCs w:val="22"/>
        </w:rPr>
        <w:lastRenderedPageBreak/>
        <w:t>linear correlation between ET and RT (r = 0.35, p = 0.02). Across all three classification approaches, ET demonstrated almost perfect agreement with RT (AC2 = 0.85-0.92, p &lt; 0.001).</w:t>
      </w:r>
    </w:p>
    <w:p w14:paraId="5F4ED1DF" w14:textId="77777777" w:rsidR="00196850" w:rsidRPr="00137CE7" w:rsidRDefault="00196850" w:rsidP="006A1E38">
      <w:pPr>
        <w:spacing w:line="240" w:lineRule="auto"/>
        <w:contextualSpacing/>
        <w:jc w:val="both"/>
        <w:rPr>
          <w:rFonts w:ascii="Arial" w:hAnsi="Arial" w:cs="Arial"/>
          <w:sz w:val="22"/>
          <w:szCs w:val="22"/>
        </w:rPr>
      </w:pPr>
      <w:r w:rsidRPr="00137CE7">
        <w:rPr>
          <w:rFonts w:ascii="Arial" w:hAnsi="Arial" w:cs="Arial"/>
          <w:b/>
          <w:i/>
          <w:iCs/>
          <w:sz w:val="22"/>
          <w:szCs w:val="22"/>
        </w:rPr>
        <w:t>Conclusion</w:t>
      </w:r>
      <w:r w:rsidRPr="00137CE7">
        <w:rPr>
          <w:rFonts w:ascii="Arial" w:hAnsi="Arial" w:cs="Arial"/>
          <w:b/>
          <w:sz w:val="22"/>
          <w:szCs w:val="22"/>
        </w:rPr>
        <w:t xml:space="preserve">: </w:t>
      </w:r>
      <w:r w:rsidRPr="00137CE7">
        <w:rPr>
          <w:rFonts w:ascii="Arial" w:hAnsi="Arial" w:cs="Arial"/>
          <w:sz w:val="22"/>
          <w:szCs w:val="22"/>
        </w:rPr>
        <w:t>Ocular thermography represents a promising non-contact method for canine temperature assessment, demonstrating strong agreement with RT-based temperature classification despite a modest linear correlation between continuous measurements. Further studies with larger and more diverse canine populations are warranted to determine its role as a screening tool in clinical practice.</w:t>
      </w:r>
    </w:p>
    <w:p w14:paraId="4D299A87" w14:textId="77777777" w:rsidR="00196850" w:rsidRPr="00137CE7" w:rsidRDefault="00196850" w:rsidP="006A1E38">
      <w:pPr>
        <w:spacing w:line="240" w:lineRule="auto"/>
        <w:contextualSpacing/>
        <w:jc w:val="both"/>
        <w:rPr>
          <w:rFonts w:ascii="Arial" w:hAnsi="Arial" w:cs="Arial"/>
          <w:sz w:val="22"/>
          <w:szCs w:val="22"/>
        </w:rPr>
      </w:pPr>
    </w:p>
    <w:p w14:paraId="73AAA7CF" w14:textId="239B1459" w:rsidR="00196850" w:rsidRPr="00137CE7" w:rsidRDefault="00196850" w:rsidP="006A1E38">
      <w:pPr>
        <w:spacing w:line="240" w:lineRule="auto"/>
        <w:contextualSpacing/>
        <w:jc w:val="both"/>
        <w:rPr>
          <w:rFonts w:ascii="Arial" w:hAnsi="Arial" w:cs="Arial"/>
          <w:color w:val="000000"/>
          <w:kern w:val="0"/>
          <w:sz w:val="22"/>
          <w:szCs w:val="22"/>
        </w:rPr>
      </w:pPr>
      <w:r w:rsidRPr="00137CE7">
        <w:rPr>
          <w:rFonts w:ascii="Arial" w:hAnsi="Arial" w:cs="Arial"/>
          <w:b/>
          <w:bCs/>
          <w:color w:val="000000"/>
          <w:kern w:val="0"/>
          <w:sz w:val="22"/>
          <w:szCs w:val="22"/>
        </w:rPr>
        <w:t>Funding:</w:t>
      </w:r>
      <w:r w:rsidRPr="00137CE7">
        <w:rPr>
          <w:rFonts w:ascii="Arial" w:hAnsi="Arial" w:cs="Arial"/>
          <w:color w:val="000000"/>
          <w:kern w:val="0"/>
          <w:sz w:val="22"/>
          <w:szCs w:val="22"/>
        </w:rPr>
        <w:t xml:space="preserve"> </w:t>
      </w:r>
      <w:r w:rsidRPr="00137CE7">
        <w:rPr>
          <w:rFonts w:ascii="Arial" w:hAnsi="Arial" w:cs="Arial"/>
          <w:color w:val="000000"/>
          <w:kern w:val="0"/>
          <w:sz w:val="22"/>
          <w:szCs w:val="22"/>
        </w:rPr>
        <w:t xml:space="preserve"> MSU CVM Office of Research and Graduate Studies</w:t>
      </w:r>
    </w:p>
    <w:p w14:paraId="03910EA8" w14:textId="77777777" w:rsidR="00222F38" w:rsidRPr="00137CE7" w:rsidRDefault="00222F38" w:rsidP="006A1E38">
      <w:pPr>
        <w:spacing w:line="240" w:lineRule="auto"/>
        <w:contextualSpacing/>
        <w:jc w:val="both"/>
        <w:rPr>
          <w:rFonts w:ascii="Arial" w:hAnsi="Arial" w:cs="Arial"/>
          <w:color w:val="000000"/>
          <w:kern w:val="0"/>
          <w:sz w:val="22"/>
          <w:szCs w:val="22"/>
        </w:rPr>
      </w:pPr>
    </w:p>
    <w:p w14:paraId="26FC043D" w14:textId="77777777" w:rsidR="00222F38" w:rsidRPr="00137CE7" w:rsidRDefault="00222F38" w:rsidP="006A1E38">
      <w:pPr>
        <w:spacing w:line="240" w:lineRule="auto"/>
        <w:contextualSpacing/>
        <w:jc w:val="both"/>
        <w:rPr>
          <w:rFonts w:ascii="Arial" w:hAnsi="Arial" w:cs="Arial"/>
          <w:b/>
          <w:bCs/>
          <w:color w:val="000000"/>
          <w:kern w:val="0"/>
          <w:sz w:val="22"/>
          <w:szCs w:val="22"/>
        </w:rPr>
      </w:pPr>
      <w:r w:rsidRPr="00137CE7">
        <w:rPr>
          <w:rFonts w:ascii="Arial" w:hAnsi="Arial" w:cs="Arial"/>
          <w:b/>
          <w:bCs/>
          <w:color w:val="000000"/>
          <w:kern w:val="0"/>
          <w:sz w:val="22"/>
          <w:szCs w:val="22"/>
          <w:u w:val="single"/>
        </w:rPr>
        <w:t>Title:</w:t>
      </w:r>
      <w:r w:rsidRPr="00137CE7">
        <w:rPr>
          <w:rFonts w:ascii="Arial" w:hAnsi="Arial" w:cs="Arial"/>
          <w:b/>
          <w:bCs/>
          <w:color w:val="000000"/>
          <w:kern w:val="0"/>
          <w:sz w:val="22"/>
          <w:szCs w:val="22"/>
        </w:rPr>
        <w:t xml:space="preserve"> DEVELOPMENTAL TOXICOLOGY OF EARLY- LIFE CBD EXPOSURE: SURVIVAL, GROWTH, AND BEHAVIOR IN ZEBRAFISH</w:t>
      </w:r>
    </w:p>
    <w:p w14:paraId="2D3B5A2C" w14:textId="77777777"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color w:val="000000"/>
          <w:kern w:val="0"/>
          <w:sz w:val="22"/>
          <w:szCs w:val="22"/>
        </w:rPr>
        <w:t>Authors: McLaughlin S</w:t>
      </w:r>
      <w:r w:rsidRPr="00137CE7">
        <w:rPr>
          <w:rFonts w:ascii="Arial" w:hAnsi="Arial" w:cs="Arial"/>
          <w:b/>
          <w:bCs/>
          <w:color w:val="000000"/>
          <w:kern w:val="0"/>
          <w:sz w:val="22"/>
          <w:szCs w:val="22"/>
          <w:vertAlign w:val="superscript"/>
        </w:rPr>
        <w:t>1</w:t>
      </w:r>
      <w:r w:rsidRPr="00137CE7">
        <w:rPr>
          <w:rFonts w:ascii="Arial" w:hAnsi="Arial" w:cs="Arial"/>
          <w:color w:val="000000"/>
          <w:kern w:val="0"/>
          <w:sz w:val="22"/>
          <w:szCs w:val="22"/>
        </w:rPr>
        <w:t>, Shamblin T</w:t>
      </w:r>
      <w:r w:rsidRPr="00137CE7">
        <w:rPr>
          <w:rFonts w:ascii="Arial" w:hAnsi="Arial" w:cs="Arial"/>
          <w:color w:val="000000"/>
          <w:kern w:val="0"/>
          <w:sz w:val="22"/>
          <w:szCs w:val="22"/>
          <w:vertAlign w:val="superscript"/>
        </w:rPr>
        <w:t>1</w:t>
      </w:r>
      <w:r w:rsidRPr="00137CE7">
        <w:rPr>
          <w:rFonts w:ascii="Arial" w:hAnsi="Arial" w:cs="Arial"/>
          <w:color w:val="000000"/>
          <w:kern w:val="0"/>
          <w:sz w:val="22"/>
          <w:szCs w:val="22"/>
        </w:rPr>
        <w:t>, Carter E</w:t>
      </w:r>
      <w:r w:rsidRPr="00137CE7">
        <w:rPr>
          <w:rFonts w:ascii="Arial" w:hAnsi="Arial" w:cs="Arial"/>
          <w:color w:val="000000"/>
          <w:kern w:val="0"/>
          <w:sz w:val="22"/>
          <w:szCs w:val="22"/>
          <w:vertAlign w:val="superscript"/>
        </w:rPr>
        <w:t>1</w:t>
      </w:r>
      <w:r w:rsidRPr="00137CE7">
        <w:rPr>
          <w:rFonts w:ascii="Arial" w:hAnsi="Arial" w:cs="Arial"/>
          <w:color w:val="000000"/>
          <w:kern w:val="0"/>
          <w:sz w:val="22"/>
          <w:szCs w:val="22"/>
        </w:rPr>
        <w:t>, Smithey M</w:t>
      </w:r>
      <w:r w:rsidRPr="00137CE7">
        <w:rPr>
          <w:rFonts w:ascii="Arial" w:hAnsi="Arial" w:cs="Arial"/>
          <w:color w:val="000000"/>
          <w:kern w:val="0"/>
          <w:sz w:val="22"/>
          <w:szCs w:val="22"/>
          <w:vertAlign w:val="superscript"/>
        </w:rPr>
        <w:t>1</w:t>
      </w:r>
      <w:r w:rsidRPr="00137CE7">
        <w:rPr>
          <w:rFonts w:ascii="Arial" w:hAnsi="Arial" w:cs="Arial"/>
          <w:color w:val="000000"/>
          <w:kern w:val="0"/>
          <w:sz w:val="22"/>
          <w:szCs w:val="22"/>
        </w:rPr>
        <w:t>, Burnett M</w:t>
      </w:r>
      <w:r w:rsidRPr="00137CE7">
        <w:rPr>
          <w:rFonts w:ascii="Arial" w:hAnsi="Arial" w:cs="Arial"/>
          <w:color w:val="000000"/>
          <w:kern w:val="0"/>
          <w:sz w:val="22"/>
          <w:szCs w:val="22"/>
          <w:vertAlign w:val="superscript"/>
        </w:rPr>
        <w:t>1</w:t>
      </w:r>
      <w:r w:rsidRPr="00137CE7">
        <w:rPr>
          <w:rFonts w:ascii="Arial" w:hAnsi="Arial" w:cs="Arial"/>
          <w:color w:val="000000"/>
          <w:kern w:val="0"/>
          <w:sz w:val="22"/>
          <w:szCs w:val="22"/>
        </w:rPr>
        <w:t xml:space="preserve">, </w:t>
      </w:r>
      <w:r w:rsidRPr="00137CE7">
        <w:rPr>
          <w:rFonts w:ascii="Arial" w:hAnsi="Arial" w:cs="Arial"/>
          <w:i/>
          <w:iCs/>
          <w:color w:val="000000"/>
          <w:kern w:val="0"/>
          <w:sz w:val="22"/>
          <w:szCs w:val="22"/>
        </w:rPr>
        <w:t>Ashpole N</w:t>
      </w:r>
      <w:r w:rsidRPr="00137CE7">
        <w:rPr>
          <w:rFonts w:ascii="Arial" w:hAnsi="Arial" w:cs="Arial"/>
          <w:i/>
          <w:iCs/>
          <w:color w:val="000000"/>
          <w:kern w:val="0"/>
          <w:sz w:val="22"/>
          <w:szCs w:val="22"/>
          <w:vertAlign w:val="superscript"/>
        </w:rPr>
        <w:t>1</w:t>
      </w:r>
      <w:r w:rsidRPr="00137CE7">
        <w:rPr>
          <w:rFonts w:ascii="Arial" w:hAnsi="Arial" w:cs="Arial"/>
          <w:color w:val="000000"/>
          <w:kern w:val="0"/>
          <w:sz w:val="22"/>
          <w:szCs w:val="22"/>
        </w:rPr>
        <w:t>, Willett K</w:t>
      </w:r>
      <w:r w:rsidRPr="00137CE7">
        <w:rPr>
          <w:rFonts w:ascii="Arial" w:hAnsi="Arial" w:cs="Arial"/>
          <w:color w:val="000000"/>
          <w:kern w:val="0"/>
          <w:sz w:val="22"/>
          <w:szCs w:val="22"/>
          <w:vertAlign w:val="superscript"/>
        </w:rPr>
        <w:t>2</w:t>
      </w:r>
    </w:p>
    <w:p w14:paraId="7CEED95B" w14:textId="67EC52AD"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color w:val="000000"/>
          <w:kern w:val="0"/>
          <w:sz w:val="22"/>
          <w:szCs w:val="22"/>
          <w:vertAlign w:val="superscript"/>
        </w:rPr>
        <w:t>1</w:t>
      </w:r>
      <w:r w:rsidRPr="00137CE7">
        <w:rPr>
          <w:rFonts w:ascii="Arial" w:hAnsi="Arial" w:cs="Arial"/>
          <w:color w:val="000000"/>
          <w:kern w:val="0"/>
          <w:sz w:val="22"/>
          <w:szCs w:val="22"/>
        </w:rPr>
        <w:t>Mississippi State University, College of Veterinary Medicine. Dept. of Comparative Biomedical Sciences, Starkville, M</w:t>
      </w:r>
      <w:r w:rsidRPr="00137CE7">
        <w:rPr>
          <w:rFonts w:ascii="Arial" w:hAnsi="Arial" w:cs="Arial"/>
          <w:color w:val="000000"/>
          <w:kern w:val="0"/>
          <w:sz w:val="22"/>
          <w:szCs w:val="22"/>
        </w:rPr>
        <w:t xml:space="preserve">S; </w:t>
      </w:r>
      <w:r w:rsidRPr="00137CE7">
        <w:rPr>
          <w:rFonts w:ascii="Arial" w:hAnsi="Arial" w:cs="Arial"/>
          <w:color w:val="000000"/>
          <w:kern w:val="0"/>
          <w:sz w:val="22"/>
          <w:szCs w:val="22"/>
          <w:vertAlign w:val="superscript"/>
        </w:rPr>
        <w:t>2</w:t>
      </w:r>
      <w:r w:rsidRPr="00137CE7">
        <w:rPr>
          <w:rFonts w:ascii="Arial" w:hAnsi="Arial" w:cs="Arial"/>
          <w:color w:val="000000"/>
          <w:kern w:val="0"/>
          <w:sz w:val="22"/>
          <w:szCs w:val="22"/>
        </w:rPr>
        <w:t>University of Mississippi, School of Pharmacy, Dept. of Biomolecular Sciences, Oxford, MS</w:t>
      </w:r>
    </w:p>
    <w:p w14:paraId="6A0FCD44" w14:textId="77777777" w:rsidR="00222F38" w:rsidRPr="00137CE7" w:rsidRDefault="00222F38" w:rsidP="006A1E38">
      <w:pPr>
        <w:spacing w:line="240" w:lineRule="auto"/>
        <w:contextualSpacing/>
        <w:jc w:val="both"/>
        <w:rPr>
          <w:rFonts w:ascii="Arial" w:hAnsi="Arial" w:cs="Arial"/>
          <w:color w:val="000000"/>
          <w:kern w:val="0"/>
          <w:sz w:val="22"/>
          <w:szCs w:val="22"/>
        </w:rPr>
      </w:pPr>
    </w:p>
    <w:p w14:paraId="349BDD52" w14:textId="77777777"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Background</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Cannabidiol (CBD) use during pregnancy, due to its perceived therapeutic benefits, has steadily increased. Cannabinoids such as CBD are highly lipophilic, allowing for fast uptake into the CNS and widespread distribution throughout the body through fat accumulation in tissue. Prenatal cannabinoid exposure has been related to adverse developmental outcomes, including the development of psychopathologies in childhood, adolescence, and adulthood. However, the association with CBD use does not fully explain how early exposure leads to these observable developmental deficits. </w:t>
      </w:r>
    </w:p>
    <w:p w14:paraId="7235EBD4" w14:textId="77777777"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Hypothesis</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Developmental exposure to cannabinoids produces alterations in growth, morphology, and behavior in zebrafish throughout their maturation. </w:t>
      </w:r>
    </w:p>
    <w:p w14:paraId="13CC2BC2" w14:textId="77777777" w:rsidR="004A5A04"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Objectives</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1) To optimize zebrafish larval husbandry for reproducible developmental studies. 2) To investigate the mechanism of action of developmental deficits induced by CBD. </w:t>
      </w:r>
    </w:p>
    <w:p w14:paraId="6FBBC678" w14:textId="613A473F"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Methods</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Zebrafish embryos were exposed to a 0.5 </w:t>
      </w:r>
      <w:proofErr w:type="spellStart"/>
      <w:r w:rsidRPr="00137CE7">
        <w:rPr>
          <w:rFonts w:ascii="Arial" w:hAnsi="Arial" w:cs="Arial"/>
          <w:color w:val="000000"/>
          <w:kern w:val="0"/>
          <w:sz w:val="22"/>
          <w:szCs w:val="22"/>
        </w:rPr>
        <w:t>μM</w:t>
      </w:r>
      <w:proofErr w:type="spellEnd"/>
      <w:r w:rsidRPr="00137CE7">
        <w:rPr>
          <w:rFonts w:ascii="Arial" w:hAnsi="Arial" w:cs="Arial"/>
          <w:color w:val="000000"/>
          <w:kern w:val="0"/>
          <w:sz w:val="22"/>
          <w:szCs w:val="22"/>
        </w:rPr>
        <w:t xml:space="preserve"> concentration of CBD, survival and hatch rate were then tracked across the outlined 6-96 hours post-fertilization (</w:t>
      </w:r>
      <w:proofErr w:type="spellStart"/>
      <w:r w:rsidRPr="00137CE7">
        <w:rPr>
          <w:rFonts w:ascii="Arial" w:hAnsi="Arial" w:cs="Arial"/>
          <w:color w:val="000000"/>
          <w:kern w:val="0"/>
          <w:sz w:val="22"/>
          <w:szCs w:val="22"/>
        </w:rPr>
        <w:t>hpf</w:t>
      </w:r>
      <w:proofErr w:type="spellEnd"/>
      <w:r w:rsidRPr="00137CE7">
        <w:rPr>
          <w:rFonts w:ascii="Arial" w:hAnsi="Arial" w:cs="Arial"/>
          <w:color w:val="000000"/>
          <w:kern w:val="0"/>
          <w:sz w:val="22"/>
          <w:szCs w:val="22"/>
        </w:rPr>
        <w:t xml:space="preserve">) stage in </w:t>
      </w:r>
      <w:r w:rsidRPr="00137CE7">
        <w:rPr>
          <w:rFonts w:ascii="Arial" w:hAnsi="Arial" w:cs="Arial"/>
          <w:i/>
          <w:iCs/>
          <w:color w:val="000000"/>
          <w:kern w:val="0"/>
          <w:sz w:val="22"/>
          <w:szCs w:val="22"/>
        </w:rPr>
        <w:t>cnr1-/-</w:t>
      </w:r>
      <w:r w:rsidRPr="00137CE7">
        <w:rPr>
          <w:rFonts w:ascii="Arial" w:hAnsi="Arial" w:cs="Arial"/>
          <w:color w:val="000000"/>
          <w:kern w:val="0"/>
          <w:sz w:val="22"/>
          <w:szCs w:val="22"/>
        </w:rPr>
        <w:t xml:space="preserve"> and </w:t>
      </w:r>
      <w:r w:rsidRPr="00137CE7">
        <w:rPr>
          <w:rFonts w:ascii="Arial" w:hAnsi="Arial" w:cs="Arial"/>
          <w:i/>
          <w:iCs/>
          <w:color w:val="000000"/>
          <w:kern w:val="0"/>
          <w:sz w:val="22"/>
          <w:szCs w:val="22"/>
        </w:rPr>
        <w:t>cnr2-/-</w:t>
      </w:r>
      <w:r w:rsidRPr="00137CE7">
        <w:rPr>
          <w:rFonts w:ascii="Arial" w:hAnsi="Arial" w:cs="Arial"/>
          <w:color w:val="000000"/>
          <w:kern w:val="0"/>
          <w:sz w:val="22"/>
          <w:szCs w:val="22"/>
        </w:rPr>
        <w:t xml:space="preserve"> fish. Maintaining consistent exposure at 6 </w:t>
      </w:r>
      <w:proofErr w:type="spellStart"/>
      <w:r w:rsidRPr="00137CE7">
        <w:rPr>
          <w:rFonts w:ascii="Arial" w:hAnsi="Arial" w:cs="Arial"/>
          <w:color w:val="000000"/>
          <w:kern w:val="0"/>
          <w:sz w:val="22"/>
          <w:szCs w:val="22"/>
        </w:rPr>
        <w:t>hpf</w:t>
      </w:r>
      <w:proofErr w:type="spellEnd"/>
      <w:r w:rsidRPr="00137CE7">
        <w:rPr>
          <w:rFonts w:ascii="Arial" w:hAnsi="Arial" w:cs="Arial"/>
          <w:color w:val="000000"/>
          <w:kern w:val="0"/>
          <w:sz w:val="22"/>
          <w:szCs w:val="22"/>
        </w:rPr>
        <w:t xml:space="preserve"> will allow us to isolate this specific developmental window and identify cannabinoid-induced effects. Due to an initial low larval survival rate, and low confidence in larval rearing protocol, we conducted a series of experiments to optimize larval rearing factors, including temperature and tank cleaning protocol. </w:t>
      </w:r>
    </w:p>
    <w:p w14:paraId="1F79E044" w14:textId="77777777"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Results</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Results indicated that increased temperature, compared to other experimental variables, improved larval survival rates optimizing zebrafish larval husbandry for reproducible developmental studies. </w:t>
      </w:r>
    </w:p>
    <w:p w14:paraId="6F62139E" w14:textId="11B9C9A8" w:rsidR="00222F38" w:rsidRPr="00137CE7" w:rsidRDefault="00222F38" w:rsidP="006A1E38">
      <w:pPr>
        <w:spacing w:line="240" w:lineRule="auto"/>
        <w:contextualSpacing/>
        <w:jc w:val="both"/>
        <w:rPr>
          <w:rFonts w:ascii="Arial" w:hAnsi="Arial" w:cs="Arial"/>
          <w:color w:val="000000"/>
          <w:kern w:val="0"/>
          <w:sz w:val="22"/>
          <w:szCs w:val="22"/>
        </w:rPr>
      </w:pPr>
      <w:r w:rsidRPr="00137CE7">
        <w:rPr>
          <w:rFonts w:ascii="Arial" w:hAnsi="Arial" w:cs="Arial"/>
          <w:b/>
          <w:bCs/>
          <w:i/>
          <w:iCs/>
          <w:color w:val="000000"/>
          <w:kern w:val="0"/>
          <w:sz w:val="22"/>
          <w:szCs w:val="22"/>
        </w:rPr>
        <w:t>Conclusion</w:t>
      </w:r>
      <w:r w:rsidRPr="00137CE7">
        <w:rPr>
          <w:rFonts w:ascii="Arial" w:hAnsi="Arial" w:cs="Arial"/>
          <w:b/>
          <w:bCs/>
          <w:color w:val="000000"/>
          <w:kern w:val="0"/>
          <w:sz w:val="22"/>
          <w:szCs w:val="22"/>
        </w:rPr>
        <w:t>:</w:t>
      </w:r>
      <w:r w:rsidRPr="00137CE7">
        <w:rPr>
          <w:rFonts w:ascii="Arial" w:hAnsi="Arial" w:cs="Arial"/>
          <w:color w:val="000000"/>
          <w:kern w:val="0"/>
          <w:sz w:val="22"/>
          <w:szCs w:val="22"/>
        </w:rPr>
        <w:t xml:space="preserve"> These findings establish zebrafish as a robust model for assessing cannabinoid-induced developmental toxicity.</w:t>
      </w:r>
    </w:p>
    <w:p w14:paraId="1C536DD6" w14:textId="77777777" w:rsidR="00222F38" w:rsidRPr="00137CE7" w:rsidRDefault="00222F38" w:rsidP="006A1E38">
      <w:pPr>
        <w:spacing w:line="240" w:lineRule="auto"/>
        <w:contextualSpacing/>
        <w:jc w:val="both"/>
        <w:rPr>
          <w:rFonts w:ascii="Arial" w:hAnsi="Arial" w:cs="Arial"/>
          <w:color w:val="000000"/>
          <w:kern w:val="0"/>
          <w:sz w:val="22"/>
          <w:szCs w:val="22"/>
        </w:rPr>
      </w:pPr>
    </w:p>
    <w:p w14:paraId="49340922" w14:textId="07580284" w:rsidR="00222F38" w:rsidRPr="00137CE7" w:rsidRDefault="00222F38" w:rsidP="006A1E38">
      <w:pPr>
        <w:pStyle w:val="Default"/>
        <w:contextualSpacing/>
        <w:jc w:val="both"/>
        <w:rPr>
          <w:rFonts w:ascii="Arial" w:hAnsi="Arial" w:cs="Arial"/>
          <w:sz w:val="22"/>
          <w:szCs w:val="22"/>
        </w:rPr>
      </w:pPr>
      <w:r w:rsidRPr="00137CE7">
        <w:rPr>
          <w:rFonts w:ascii="Arial" w:hAnsi="Arial" w:cs="Arial"/>
          <w:b/>
          <w:bCs/>
          <w:sz w:val="22"/>
          <w:szCs w:val="22"/>
        </w:rPr>
        <w:t>Funding:</w:t>
      </w:r>
      <w:r w:rsidRPr="00137CE7">
        <w:rPr>
          <w:rFonts w:ascii="Arial" w:hAnsi="Arial" w:cs="Arial"/>
          <w:sz w:val="22"/>
          <w:szCs w:val="22"/>
        </w:rPr>
        <w:t xml:space="preserve"> </w:t>
      </w:r>
      <w:r w:rsidRPr="00137CE7">
        <w:rPr>
          <w:rFonts w:ascii="Arial" w:hAnsi="Arial" w:cs="Arial"/>
          <w:sz w:val="22"/>
          <w:szCs w:val="22"/>
        </w:rPr>
        <w:t>National Institutes of Health T35OD010432</w:t>
      </w:r>
      <w:r w:rsidR="00B404C6">
        <w:rPr>
          <w:rFonts w:ascii="Arial" w:hAnsi="Arial" w:cs="Arial"/>
          <w:sz w:val="22"/>
          <w:szCs w:val="22"/>
        </w:rPr>
        <w:t xml:space="preserve"> </w:t>
      </w:r>
      <w:r w:rsidR="00B404C6">
        <w:rPr>
          <w:rFonts w:ascii="Arial" w:hAnsi="Arial" w:cs="Arial"/>
          <w:sz w:val="22"/>
          <w:szCs w:val="22"/>
        </w:rPr>
        <w:t xml:space="preserve">and </w:t>
      </w:r>
      <w:r w:rsidR="00B404C6" w:rsidRPr="00137CE7">
        <w:rPr>
          <w:rFonts w:ascii="Arial" w:hAnsi="Arial" w:cs="Arial"/>
          <w:sz w:val="22"/>
          <w:szCs w:val="22"/>
        </w:rPr>
        <w:t>MSU CVM Office of Research and Graduate Studies</w:t>
      </w:r>
    </w:p>
    <w:p w14:paraId="4092AA66" w14:textId="77777777" w:rsidR="00580B38" w:rsidRPr="00137CE7" w:rsidRDefault="00580B38" w:rsidP="006A1E38">
      <w:pPr>
        <w:pStyle w:val="Default"/>
        <w:contextualSpacing/>
        <w:jc w:val="both"/>
        <w:rPr>
          <w:rFonts w:ascii="Arial" w:hAnsi="Arial" w:cs="Arial"/>
          <w:sz w:val="22"/>
          <w:szCs w:val="22"/>
        </w:rPr>
      </w:pPr>
    </w:p>
    <w:p w14:paraId="0E8379F1" w14:textId="77777777" w:rsidR="00DE0C1D" w:rsidRPr="00137CE7" w:rsidRDefault="00DE0C1D" w:rsidP="006A1E38">
      <w:pPr>
        <w:spacing w:line="240" w:lineRule="auto"/>
        <w:contextualSpacing/>
        <w:jc w:val="both"/>
        <w:rPr>
          <w:rFonts w:ascii="Arial" w:hAnsi="Arial" w:cs="Arial"/>
          <w:sz w:val="22"/>
          <w:szCs w:val="22"/>
        </w:rPr>
      </w:pPr>
    </w:p>
    <w:p w14:paraId="3A4A1BDE" w14:textId="4C0B8844" w:rsidR="00580B38" w:rsidRPr="00137CE7" w:rsidRDefault="00580B38"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w:t>
      </w:r>
      <w:r w:rsidRPr="00137CE7">
        <w:rPr>
          <w:rFonts w:ascii="Arial" w:hAnsi="Arial" w:cs="Arial"/>
          <w:b/>
          <w:bCs/>
          <w:sz w:val="22"/>
          <w:szCs w:val="22"/>
        </w:rPr>
        <w:t>Effects of Poloxamer-407/Amikacin Gel on Multi-Drug-Resistant Bacterial Biofilms</w:t>
      </w:r>
    </w:p>
    <w:p w14:paraId="48469FFC" w14:textId="77777777" w:rsidR="00580B38" w:rsidRPr="00137CE7" w:rsidRDefault="00580B38" w:rsidP="006A1E38">
      <w:pPr>
        <w:spacing w:line="240" w:lineRule="auto"/>
        <w:contextualSpacing/>
        <w:jc w:val="both"/>
        <w:rPr>
          <w:rFonts w:ascii="Arial" w:hAnsi="Arial" w:cs="Arial"/>
          <w:b/>
          <w:bCs/>
          <w:sz w:val="22"/>
          <w:szCs w:val="22"/>
        </w:rPr>
      </w:pPr>
    </w:p>
    <w:p w14:paraId="0E6F304D" w14:textId="44E65064" w:rsidR="00580B38" w:rsidRPr="00137CE7" w:rsidRDefault="00580B38" w:rsidP="006A1E38">
      <w:pPr>
        <w:spacing w:line="240" w:lineRule="auto"/>
        <w:contextualSpacing/>
        <w:jc w:val="both"/>
        <w:rPr>
          <w:rFonts w:ascii="Arial" w:hAnsi="Arial" w:cs="Arial"/>
          <w:b/>
          <w:bCs/>
          <w:sz w:val="22"/>
          <w:szCs w:val="22"/>
        </w:rPr>
      </w:pPr>
      <w:r w:rsidRPr="00137CE7">
        <w:rPr>
          <w:rFonts w:ascii="Arial" w:hAnsi="Arial" w:cs="Arial"/>
          <w:b/>
          <w:bCs/>
          <w:sz w:val="22"/>
          <w:szCs w:val="22"/>
        </w:rPr>
        <w:t xml:space="preserve">Authors: </w:t>
      </w:r>
      <w:r w:rsidRPr="00137CE7">
        <w:rPr>
          <w:rFonts w:ascii="Arial" w:hAnsi="Arial" w:cs="Arial"/>
          <w:b/>
          <w:bCs/>
          <w:sz w:val="22"/>
          <w:szCs w:val="22"/>
        </w:rPr>
        <w:t>Camille Nettles†</w:t>
      </w:r>
      <w:r w:rsidRPr="00137CE7">
        <w:rPr>
          <w:rFonts w:ascii="Arial" w:hAnsi="Arial" w:cs="Arial"/>
          <w:sz w:val="22"/>
          <w:szCs w:val="22"/>
        </w:rPr>
        <w:t xml:space="preserve">, </w:t>
      </w:r>
      <w:r w:rsidRPr="00137CE7">
        <w:rPr>
          <w:rFonts w:ascii="Arial" w:hAnsi="Arial" w:cs="Arial"/>
          <w:i/>
          <w:iCs/>
          <w:sz w:val="22"/>
          <w:szCs w:val="22"/>
        </w:rPr>
        <w:t>Elizabeth Swanson</w:t>
      </w:r>
      <w:r w:rsidRPr="00137CE7">
        <w:rPr>
          <w:rFonts w:ascii="Arial" w:hAnsi="Arial" w:cs="Arial"/>
          <w:sz w:val="22"/>
          <w:szCs w:val="22"/>
        </w:rPr>
        <w:t>†, Cooper Brookshire†, Katherine Raines†, Al</w:t>
      </w:r>
      <w:r w:rsidRPr="00137CE7">
        <w:rPr>
          <w:rFonts w:ascii="Arial" w:hAnsi="Arial" w:cs="Arial"/>
          <w:sz w:val="22"/>
          <w:szCs w:val="22"/>
        </w:rPr>
        <w:t xml:space="preserve"> </w:t>
      </w:r>
      <w:r w:rsidRPr="00137CE7">
        <w:rPr>
          <w:rFonts w:ascii="Arial" w:hAnsi="Arial" w:cs="Arial"/>
          <w:sz w:val="22"/>
          <w:szCs w:val="22"/>
        </w:rPr>
        <w:t>Parker‡</w:t>
      </w:r>
    </w:p>
    <w:p w14:paraId="6A8D1084" w14:textId="77777777"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sz w:val="22"/>
          <w:szCs w:val="22"/>
        </w:rPr>
        <w:t>†Department of Clinical Science Mississippi State University College of Veterinary</w:t>
      </w:r>
    </w:p>
    <w:p w14:paraId="40BF80A1" w14:textId="77777777"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sz w:val="22"/>
          <w:szCs w:val="22"/>
        </w:rPr>
        <w:t>Medicine ‡Center for Biofilm Engineering Montana State University</w:t>
      </w:r>
    </w:p>
    <w:p w14:paraId="12FB3C73" w14:textId="77777777" w:rsidR="00580B38" w:rsidRPr="00137CE7" w:rsidRDefault="00580B38" w:rsidP="006A1E38">
      <w:pPr>
        <w:spacing w:line="240" w:lineRule="auto"/>
        <w:contextualSpacing/>
        <w:jc w:val="both"/>
        <w:rPr>
          <w:rFonts w:ascii="Arial" w:hAnsi="Arial" w:cs="Arial"/>
          <w:i/>
          <w:iCs/>
          <w:sz w:val="22"/>
          <w:szCs w:val="22"/>
        </w:rPr>
      </w:pPr>
    </w:p>
    <w:p w14:paraId="1F7DB3A8" w14:textId="4648D779"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Persistent multidrug-resistant (MDR) biofilms undermine wound healing</w:t>
      </w:r>
      <w:r w:rsidR="00450AED" w:rsidRPr="00137CE7">
        <w:rPr>
          <w:rFonts w:ascii="Arial" w:hAnsi="Arial" w:cs="Arial"/>
          <w:sz w:val="22"/>
          <w:szCs w:val="22"/>
        </w:rPr>
        <w:t xml:space="preserve"> </w:t>
      </w:r>
      <w:r w:rsidRPr="00137CE7">
        <w:rPr>
          <w:rFonts w:ascii="Arial" w:hAnsi="Arial" w:cs="Arial"/>
          <w:sz w:val="22"/>
          <w:szCs w:val="22"/>
        </w:rPr>
        <w:t>and demand innovative approaches beyond conventional antibiotics. Poloxamer-407</w:t>
      </w:r>
      <w:r w:rsidR="00450AED" w:rsidRPr="00137CE7">
        <w:rPr>
          <w:rFonts w:ascii="Arial" w:hAnsi="Arial" w:cs="Arial"/>
          <w:sz w:val="22"/>
          <w:szCs w:val="22"/>
        </w:rPr>
        <w:t xml:space="preserve"> </w:t>
      </w:r>
      <w:r w:rsidRPr="00137CE7">
        <w:rPr>
          <w:rFonts w:ascii="Arial" w:hAnsi="Arial" w:cs="Arial"/>
          <w:sz w:val="22"/>
          <w:szCs w:val="22"/>
        </w:rPr>
        <w:t xml:space="preserve">(P407) is a </w:t>
      </w:r>
      <w:proofErr w:type="spellStart"/>
      <w:r w:rsidRPr="00137CE7">
        <w:rPr>
          <w:rFonts w:ascii="Arial" w:hAnsi="Arial" w:cs="Arial"/>
          <w:sz w:val="22"/>
          <w:szCs w:val="22"/>
        </w:rPr>
        <w:t>thermoreversible</w:t>
      </w:r>
      <w:proofErr w:type="spellEnd"/>
      <w:r w:rsidRPr="00137CE7">
        <w:rPr>
          <w:rFonts w:ascii="Arial" w:hAnsi="Arial" w:cs="Arial"/>
          <w:sz w:val="22"/>
          <w:szCs w:val="22"/>
        </w:rPr>
        <w:t xml:space="preserve"> hydrogel used in veterinary medicine to deliver high</w:t>
      </w:r>
      <w:r w:rsidR="00450AED" w:rsidRPr="00137CE7">
        <w:rPr>
          <w:rFonts w:ascii="Arial" w:hAnsi="Arial" w:cs="Arial"/>
          <w:sz w:val="22"/>
          <w:szCs w:val="22"/>
        </w:rPr>
        <w:t xml:space="preserve"> </w:t>
      </w:r>
      <w:r w:rsidRPr="00137CE7">
        <w:rPr>
          <w:rFonts w:ascii="Arial" w:hAnsi="Arial" w:cs="Arial"/>
          <w:sz w:val="22"/>
          <w:szCs w:val="22"/>
        </w:rPr>
        <w:t>concentrations of antibiotics locally on infected wounds. The effects of a single</w:t>
      </w:r>
      <w:r w:rsidR="00450AED" w:rsidRPr="00137CE7">
        <w:rPr>
          <w:rFonts w:ascii="Arial" w:hAnsi="Arial" w:cs="Arial"/>
          <w:sz w:val="22"/>
          <w:szCs w:val="22"/>
        </w:rPr>
        <w:t xml:space="preserve"> </w:t>
      </w:r>
      <w:r w:rsidRPr="00137CE7">
        <w:rPr>
          <w:rFonts w:ascii="Arial" w:hAnsi="Arial" w:cs="Arial"/>
          <w:sz w:val="22"/>
          <w:szCs w:val="22"/>
        </w:rPr>
        <w:t>application of P407-Amikacin gel on biofilms grown from aminoglycoside-resistant, MDR</w:t>
      </w:r>
      <w:r w:rsidR="00450AED" w:rsidRPr="00137CE7">
        <w:rPr>
          <w:rFonts w:ascii="Arial" w:hAnsi="Arial" w:cs="Arial"/>
          <w:sz w:val="22"/>
          <w:szCs w:val="22"/>
        </w:rPr>
        <w:t xml:space="preserve"> </w:t>
      </w:r>
      <w:r w:rsidRPr="00137CE7">
        <w:rPr>
          <w:rFonts w:ascii="Arial" w:hAnsi="Arial" w:cs="Arial"/>
          <w:sz w:val="22"/>
          <w:szCs w:val="22"/>
        </w:rPr>
        <w:t>bacterial strains have not been directly studied.</w:t>
      </w:r>
    </w:p>
    <w:p w14:paraId="2AE15910" w14:textId="6B475C8D"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We hypothesized that P407–amikacin gel would decrease biofilm</w:t>
      </w:r>
      <w:r w:rsidR="00450AED" w:rsidRPr="00137CE7">
        <w:rPr>
          <w:rFonts w:ascii="Arial" w:hAnsi="Arial" w:cs="Arial"/>
          <w:sz w:val="22"/>
          <w:szCs w:val="22"/>
        </w:rPr>
        <w:t xml:space="preserve"> </w:t>
      </w:r>
      <w:r w:rsidRPr="00137CE7">
        <w:rPr>
          <w:rFonts w:ascii="Arial" w:hAnsi="Arial" w:cs="Arial"/>
          <w:sz w:val="22"/>
          <w:szCs w:val="22"/>
        </w:rPr>
        <w:t>thickness and biomass more rapidly than P407 gel alone or untreated controls.</w:t>
      </w:r>
    </w:p>
    <w:p w14:paraId="236B7F51" w14:textId="10EA1390"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w:t>
      </w:r>
      <w:r w:rsidRPr="00137CE7">
        <w:rPr>
          <w:rFonts w:ascii="Arial" w:hAnsi="Arial" w:cs="Arial"/>
          <w:b/>
          <w:bCs/>
          <w:sz w:val="22"/>
          <w:szCs w:val="22"/>
        </w:rPr>
        <w:t>:</w:t>
      </w:r>
      <w:r w:rsidRPr="00137CE7">
        <w:rPr>
          <w:rFonts w:ascii="Arial" w:hAnsi="Arial" w:cs="Arial"/>
          <w:sz w:val="22"/>
          <w:szCs w:val="22"/>
        </w:rPr>
        <w:t xml:space="preserve"> This study evaluates the effect of a 25% Poloxamer 407 (P407) gel</w:t>
      </w:r>
      <w:r w:rsidR="00450AED" w:rsidRPr="00137CE7">
        <w:rPr>
          <w:rFonts w:ascii="Arial" w:hAnsi="Arial" w:cs="Arial"/>
          <w:sz w:val="22"/>
          <w:szCs w:val="22"/>
        </w:rPr>
        <w:t xml:space="preserve"> </w:t>
      </w:r>
      <w:r w:rsidRPr="00137CE7">
        <w:rPr>
          <w:rFonts w:ascii="Arial" w:hAnsi="Arial" w:cs="Arial"/>
          <w:sz w:val="22"/>
          <w:szCs w:val="22"/>
        </w:rPr>
        <w:t>containing 50 mg/mL amikacin on in vitro aminoglycoside-resistant MDR biofilms.</w:t>
      </w:r>
    </w:p>
    <w:p w14:paraId="0057F632" w14:textId="78867D43"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An aminoglycoside-resistant MDR Enterococcus faecium wound isolate was</w:t>
      </w:r>
      <w:r w:rsidR="00450AED" w:rsidRPr="00137CE7">
        <w:rPr>
          <w:rFonts w:ascii="Arial" w:hAnsi="Arial" w:cs="Arial"/>
          <w:sz w:val="22"/>
          <w:szCs w:val="22"/>
        </w:rPr>
        <w:t xml:space="preserve"> </w:t>
      </w:r>
      <w:r w:rsidRPr="00137CE7">
        <w:rPr>
          <w:rFonts w:ascii="Arial" w:hAnsi="Arial" w:cs="Arial"/>
          <w:sz w:val="22"/>
          <w:szCs w:val="22"/>
        </w:rPr>
        <w:t xml:space="preserve">stained with a 20 </w:t>
      </w:r>
      <w:proofErr w:type="spellStart"/>
      <w:r w:rsidRPr="00137CE7">
        <w:rPr>
          <w:rFonts w:ascii="Arial" w:hAnsi="Arial" w:cs="Arial"/>
          <w:sz w:val="22"/>
          <w:szCs w:val="22"/>
        </w:rPr>
        <w:t>μM</w:t>
      </w:r>
      <w:proofErr w:type="spellEnd"/>
      <w:r w:rsidRPr="00137CE7">
        <w:rPr>
          <w:rFonts w:ascii="Arial" w:hAnsi="Arial" w:cs="Arial"/>
          <w:sz w:val="22"/>
          <w:szCs w:val="22"/>
        </w:rPr>
        <w:t xml:space="preserve"> CMTPX Red fluorescent probe and incubated on polycarbonate</w:t>
      </w:r>
      <w:r w:rsidR="00450AED" w:rsidRPr="00137CE7">
        <w:rPr>
          <w:rFonts w:ascii="Arial" w:hAnsi="Arial" w:cs="Arial"/>
          <w:sz w:val="22"/>
          <w:szCs w:val="22"/>
        </w:rPr>
        <w:t xml:space="preserve"> </w:t>
      </w:r>
      <w:r w:rsidRPr="00137CE7">
        <w:rPr>
          <w:rFonts w:ascii="Arial" w:hAnsi="Arial" w:cs="Arial"/>
          <w:sz w:val="22"/>
          <w:szCs w:val="22"/>
        </w:rPr>
        <w:t>coupons at 37ÆC</w:t>
      </w:r>
      <w:r w:rsidR="00450AED" w:rsidRPr="00137CE7">
        <w:rPr>
          <w:rFonts w:ascii="Arial" w:hAnsi="Arial" w:cs="Arial"/>
          <w:sz w:val="22"/>
          <w:szCs w:val="22"/>
        </w:rPr>
        <w:t xml:space="preserve"> </w:t>
      </w:r>
      <w:r w:rsidRPr="00137CE7">
        <w:rPr>
          <w:rFonts w:ascii="Arial" w:hAnsi="Arial" w:cs="Arial"/>
          <w:sz w:val="22"/>
          <w:szCs w:val="22"/>
        </w:rPr>
        <w:t>for three days at 200 rpm. Treatment groups included: (1) P407–</w:t>
      </w:r>
      <w:r w:rsidR="00450AED" w:rsidRPr="00137CE7">
        <w:rPr>
          <w:rFonts w:ascii="Arial" w:hAnsi="Arial" w:cs="Arial"/>
          <w:sz w:val="22"/>
          <w:szCs w:val="22"/>
        </w:rPr>
        <w:t xml:space="preserve"> </w:t>
      </w:r>
      <w:r w:rsidRPr="00137CE7">
        <w:rPr>
          <w:rFonts w:ascii="Arial" w:hAnsi="Arial" w:cs="Arial"/>
          <w:sz w:val="22"/>
          <w:szCs w:val="22"/>
        </w:rPr>
        <w:t>amikacin gel, (2) P407 gel alone, and (3) no treatment. Biofilms were imaged using</w:t>
      </w:r>
      <w:r w:rsidR="00450AED" w:rsidRPr="00137CE7">
        <w:rPr>
          <w:rFonts w:ascii="Arial" w:hAnsi="Arial" w:cs="Arial"/>
          <w:sz w:val="22"/>
          <w:szCs w:val="22"/>
        </w:rPr>
        <w:t xml:space="preserve"> </w:t>
      </w:r>
      <w:r w:rsidRPr="00137CE7">
        <w:rPr>
          <w:rFonts w:ascii="Arial" w:hAnsi="Arial" w:cs="Arial"/>
          <w:sz w:val="22"/>
          <w:szCs w:val="22"/>
        </w:rPr>
        <w:t>confocal laser scanning microscopy prior to treatment and at 24-hour intervals for four</w:t>
      </w:r>
      <w:r w:rsidR="00450AED" w:rsidRPr="00137CE7">
        <w:rPr>
          <w:rFonts w:ascii="Arial" w:hAnsi="Arial" w:cs="Arial"/>
          <w:sz w:val="22"/>
          <w:szCs w:val="22"/>
        </w:rPr>
        <w:t xml:space="preserve"> </w:t>
      </w:r>
      <w:r w:rsidRPr="00137CE7">
        <w:rPr>
          <w:rFonts w:ascii="Arial" w:hAnsi="Arial" w:cs="Arial"/>
          <w:sz w:val="22"/>
          <w:szCs w:val="22"/>
        </w:rPr>
        <w:t>days. Beer’s analysis and MATLAB were used to measure mean thickness and biomass</w:t>
      </w:r>
      <w:r w:rsidR="00450AED" w:rsidRPr="00137CE7">
        <w:rPr>
          <w:rFonts w:ascii="Arial" w:hAnsi="Arial" w:cs="Arial"/>
          <w:sz w:val="22"/>
          <w:szCs w:val="22"/>
        </w:rPr>
        <w:t xml:space="preserve"> </w:t>
      </w:r>
      <w:r w:rsidRPr="00137CE7">
        <w:rPr>
          <w:rFonts w:ascii="Arial" w:hAnsi="Arial" w:cs="Arial"/>
          <w:sz w:val="22"/>
          <w:szCs w:val="22"/>
        </w:rPr>
        <w:t>for each coupon. A linear mixed effects model was used to compare biofilm thickness</w:t>
      </w:r>
      <w:r w:rsidR="00450AED" w:rsidRPr="00137CE7">
        <w:rPr>
          <w:rFonts w:ascii="Arial" w:hAnsi="Arial" w:cs="Arial"/>
          <w:sz w:val="22"/>
          <w:szCs w:val="22"/>
        </w:rPr>
        <w:t xml:space="preserve"> </w:t>
      </w:r>
      <w:r w:rsidRPr="00137CE7">
        <w:rPr>
          <w:rFonts w:ascii="Arial" w:hAnsi="Arial" w:cs="Arial"/>
          <w:sz w:val="22"/>
          <w:szCs w:val="22"/>
        </w:rPr>
        <w:t>and biomass between groups.</w:t>
      </w:r>
    </w:p>
    <w:p w14:paraId="68694F99" w14:textId="4EF2F627" w:rsidR="00580B38"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The P407–amikacin gel reduced biofilm thickness and biomass from 0 to 48</w:t>
      </w:r>
      <w:r w:rsidR="00450AED" w:rsidRPr="00137CE7">
        <w:rPr>
          <w:rFonts w:ascii="Arial" w:hAnsi="Arial" w:cs="Arial"/>
          <w:sz w:val="22"/>
          <w:szCs w:val="22"/>
        </w:rPr>
        <w:t xml:space="preserve"> </w:t>
      </w:r>
      <w:r w:rsidRPr="00137CE7">
        <w:rPr>
          <w:rFonts w:ascii="Arial" w:hAnsi="Arial" w:cs="Arial"/>
          <w:sz w:val="22"/>
          <w:szCs w:val="22"/>
        </w:rPr>
        <w:t>hours, after which no change occurred. P407 gel alone caused mild thinning and</w:t>
      </w:r>
      <w:r w:rsidR="00450AED" w:rsidRPr="00137CE7">
        <w:rPr>
          <w:rFonts w:ascii="Arial" w:hAnsi="Arial" w:cs="Arial"/>
          <w:sz w:val="22"/>
          <w:szCs w:val="22"/>
        </w:rPr>
        <w:t xml:space="preserve"> </w:t>
      </w:r>
      <w:r w:rsidRPr="00137CE7">
        <w:rPr>
          <w:rFonts w:ascii="Arial" w:hAnsi="Arial" w:cs="Arial"/>
          <w:sz w:val="22"/>
          <w:szCs w:val="22"/>
        </w:rPr>
        <w:t>decrease in biomass, and untreated controls showed no change. Between groups,</w:t>
      </w:r>
      <w:r w:rsidR="00450AED" w:rsidRPr="00137CE7">
        <w:rPr>
          <w:rFonts w:ascii="Arial" w:hAnsi="Arial" w:cs="Arial"/>
          <w:sz w:val="22"/>
          <w:szCs w:val="22"/>
        </w:rPr>
        <w:t xml:space="preserve"> </w:t>
      </w:r>
      <w:r w:rsidRPr="00137CE7">
        <w:rPr>
          <w:rFonts w:ascii="Arial" w:hAnsi="Arial" w:cs="Arial"/>
          <w:sz w:val="22"/>
          <w:szCs w:val="22"/>
        </w:rPr>
        <w:t>biofilm thickness and biomass differed, with the P407–amikacin gel outperforming both</w:t>
      </w:r>
      <w:r w:rsidR="00450AED" w:rsidRPr="00137CE7">
        <w:rPr>
          <w:rFonts w:ascii="Arial" w:hAnsi="Arial" w:cs="Arial"/>
          <w:sz w:val="22"/>
          <w:szCs w:val="22"/>
        </w:rPr>
        <w:t xml:space="preserve"> </w:t>
      </w:r>
      <w:r w:rsidRPr="00137CE7">
        <w:rPr>
          <w:rFonts w:ascii="Arial" w:hAnsi="Arial" w:cs="Arial"/>
          <w:sz w:val="22"/>
          <w:szCs w:val="22"/>
        </w:rPr>
        <w:t>P407 alone and no treatment.</w:t>
      </w:r>
    </w:p>
    <w:p w14:paraId="75F1BCA3" w14:textId="18959282" w:rsidR="00DE0C1D" w:rsidRPr="00137CE7" w:rsidRDefault="00580B38" w:rsidP="006A1E38">
      <w:pPr>
        <w:spacing w:line="240" w:lineRule="auto"/>
        <w:contextualSpacing/>
        <w:jc w:val="both"/>
        <w:rPr>
          <w:rFonts w:ascii="Arial" w:hAnsi="Arial" w:cs="Arial"/>
          <w:sz w:val="22"/>
          <w:szCs w:val="22"/>
        </w:rPr>
      </w:pPr>
      <w:r w:rsidRPr="00137CE7">
        <w:rPr>
          <w:rFonts w:ascii="Arial" w:hAnsi="Arial" w:cs="Arial"/>
          <w:b/>
          <w:bCs/>
          <w:i/>
          <w:iCs/>
          <w:sz w:val="22"/>
          <w:szCs w:val="22"/>
        </w:rPr>
        <w:t>Conclusions</w:t>
      </w:r>
      <w:r w:rsidRPr="00137CE7">
        <w:rPr>
          <w:rFonts w:ascii="Arial" w:hAnsi="Arial" w:cs="Arial"/>
          <w:b/>
          <w:bCs/>
          <w:sz w:val="22"/>
          <w:szCs w:val="22"/>
        </w:rPr>
        <w:t>:</w:t>
      </w:r>
      <w:r w:rsidRPr="00137CE7">
        <w:rPr>
          <w:rFonts w:ascii="Arial" w:hAnsi="Arial" w:cs="Arial"/>
          <w:sz w:val="22"/>
          <w:szCs w:val="22"/>
        </w:rPr>
        <w:t xml:space="preserve"> These findings demonstrate that P407–amikacin gel disrupts</w:t>
      </w:r>
      <w:r w:rsidR="00450AED" w:rsidRPr="00137CE7">
        <w:rPr>
          <w:rFonts w:ascii="Arial" w:hAnsi="Arial" w:cs="Arial"/>
          <w:sz w:val="22"/>
          <w:szCs w:val="22"/>
        </w:rPr>
        <w:t xml:space="preserve"> </w:t>
      </w:r>
      <w:r w:rsidRPr="00137CE7">
        <w:rPr>
          <w:rFonts w:ascii="Arial" w:hAnsi="Arial" w:cs="Arial"/>
          <w:sz w:val="22"/>
          <w:szCs w:val="22"/>
        </w:rPr>
        <w:t>aminoglycoside-resistant MDR biofilms compared to no treatment, while P407 alone</w:t>
      </w:r>
      <w:r w:rsidR="00450AED" w:rsidRPr="00137CE7">
        <w:rPr>
          <w:rFonts w:ascii="Arial" w:hAnsi="Arial" w:cs="Arial"/>
          <w:sz w:val="22"/>
          <w:szCs w:val="22"/>
        </w:rPr>
        <w:t xml:space="preserve"> </w:t>
      </w:r>
      <w:r w:rsidRPr="00137CE7">
        <w:rPr>
          <w:rFonts w:ascii="Arial" w:hAnsi="Arial" w:cs="Arial"/>
          <w:sz w:val="22"/>
          <w:szCs w:val="22"/>
        </w:rPr>
        <w:t>exerts a lesser effect. The duration of measurable biofilm reduction appears limited to</w:t>
      </w:r>
      <w:r w:rsidR="00450AED" w:rsidRPr="00137CE7">
        <w:rPr>
          <w:rFonts w:ascii="Arial" w:hAnsi="Arial" w:cs="Arial"/>
          <w:sz w:val="22"/>
          <w:szCs w:val="22"/>
        </w:rPr>
        <w:t xml:space="preserve"> </w:t>
      </w:r>
      <w:r w:rsidRPr="00137CE7">
        <w:rPr>
          <w:rFonts w:ascii="Arial" w:hAnsi="Arial" w:cs="Arial"/>
          <w:sz w:val="22"/>
          <w:szCs w:val="22"/>
        </w:rPr>
        <w:t>the first 48 hours, suggesting a defined therapeutic window for maximal impact</w:t>
      </w:r>
      <w:r w:rsidR="00450AED" w:rsidRPr="00137CE7">
        <w:rPr>
          <w:rFonts w:ascii="Arial" w:hAnsi="Arial" w:cs="Arial"/>
          <w:sz w:val="22"/>
          <w:szCs w:val="22"/>
        </w:rPr>
        <w:t>.</w:t>
      </w:r>
    </w:p>
    <w:p w14:paraId="4B666A32" w14:textId="77777777" w:rsidR="00450AED" w:rsidRPr="00137CE7" w:rsidRDefault="00450AED" w:rsidP="006A1E38">
      <w:pPr>
        <w:spacing w:line="240" w:lineRule="auto"/>
        <w:contextualSpacing/>
        <w:jc w:val="both"/>
        <w:rPr>
          <w:rFonts w:ascii="Arial" w:hAnsi="Arial" w:cs="Arial"/>
          <w:sz w:val="22"/>
          <w:szCs w:val="22"/>
        </w:rPr>
      </w:pPr>
    </w:p>
    <w:p w14:paraId="5D9EF95A" w14:textId="038BD0F7" w:rsidR="00450AED" w:rsidRPr="00137CE7" w:rsidRDefault="00450AED" w:rsidP="006A1E38">
      <w:pPr>
        <w:spacing w:line="240" w:lineRule="auto"/>
        <w:contextualSpacing/>
        <w:jc w:val="both"/>
        <w:rPr>
          <w:rFonts w:ascii="Arial" w:hAnsi="Arial" w:cs="Arial"/>
          <w:b/>
          <w:bCs/>
          <w:sz w:val="22"/>
          <w:szCs w:val="22"/>
        </w:rPr>
      </w:pPr>
      <w:r w:rsidRPr="00137CE7">
        <w:rPr>
          <w:rFonts w:ascii="Arial" w:hAnsi="Arial" w:cs="Arial"/>
          <w:b/>
          <w:bCs/>
          <w:sz w:val="22"/>
          <w:szCs w:val="22"/>
        </w:rPr>
        <w:t xml:space="preserve">Funding: </w:t>
      </w:r>
      <w:r w:rsidRPr="00137CE7">
        <w:rPr>
          <w:rFonts w:ascii="Arial" w:hAnsi="Arial" w:cs="Arial"/>
          <w:color w:val="000000"/>
          <w:kern w:val="0"/>
          <w:sz w:val="22"/>
          <w:szCs w:val="22"/>
        </w:rPr>
        <w:t>National Institutes of Health T35OD010432</w:t>
      </w:r>
      <w:r w:rsidR="00B404C6">
        <w:rPr>
          <w:rFonts w:ascii="Arial" w:hAnsi="Arial" w:cs="Arial"/>
          <w:color w:val="000000"/>
          <w:kern w:val="0"/>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p w14:paraId="665BD240" w14:textId="77777777" w:rsidR="00450AED" w:rsidRPr="00137CE7" w:rsidRDefault="00450AED" w:rsidP="006A1E38">
      <w:pPr>
        <w:spacing w:line="240" w:lineRule="auto"/>
        <w:contextualSpacing/>
        <w:jc w:val="both"/>
        <w:rPr>
          <w:rFonts w:ascii="Arial" w:hAnsi="Arial" w:cs="Arial"/>
          <w:sz w:val="22"/>
          <w:szCs w:val="22"/>
        </w:rPr>
      </w:pPr>
    </w:p>
    <w:p w14:paraId="24B93BBD" w14:textId="3601E2CD" w:rsidR="00450AED" w:rsidRPr="00137CE7" w:rsidRDefault="00450AED" w:rsidP="006A1E38">
      <w:pPr>
        <w:spacing w:line="240" w:lineRule="auto"/>
        <w:contextualSpacing/>
        <w:jc w:val="both"/>
        <w:rPr>
          <w:rFonts w:ascii="Arial" w:hAnsi="Arial" w:cs="Arial"/>
          <w:b/>
          <w:bCs/>
          <w:sz w:val="22"/>
          <w:szCs w:val="22"/>
        </w:rPr>
      </w:pPr>
      <w:r w:rsidRPr="00137CE7">
        <w:rPr>
          <w:rFonts w:ascii="Arial" w:hAnsi="Arial" w:cs="Arial"/>
          <w:b/>
          <w:bCs/>
          <w:sz w:val="22"/>
          <w:szCs w:val="22"/>
          <w:u w:val="single"/>
        </w:rPr>
        <w:t>T</w:t>
      </w:r>
      <w:r w:rsidRPr="00137CE7">
        <w:rPr>
          <w:rFonts w:ascii="Arial" w:hAnsi="Arial" w:cs="Arial"/>
          <w:b/>
          <w:bCs/>
          <w:sz w:val="22"/>
          <w:szCs w:val="22"/>
          <w:u w:val="single"/>
        </w:rPr>
        <w:t>itle</w:t>
      </w:r>
      <w:r w:rsidRPr="00137CE7">
        <w:rPr>
          <w:rFonts w:ascii="Arial" w:hAnsi="Arial" w:cs="Arial"/>
          <w:b/>
          <w:bCs/>
          <w:sz w:val="22"/>
          <w:szCs w:val="22"/>
          <w:u w:val="single"/>
        </w:rPr>
        <w:t>:</w:t>
      </w:r>
      <w:r w:rsidRPr="00137CE7">
        <w:rPr>
          <w:rFonts w:ascii="Arial" w:hAnsi="Arial" w:cs="Arial"/>
          <w:b/>
          <w:bCs/>
          <w:sz w:val="22"/>
          <w:szCs w:val="22"/>
        </w:rPr>
        <w:t xml:space="preserve"> REGIONAL SHAPE CORRESPONDENCE BETWEEN THE EQUINE </w:t>
      </w:r>
      <w:proofErr w:type="gramStart"/>
      <w:r w:rsidRPr="00137CE7">
        <w:rPr>
          <w:rFonts w:ascii="Arial" w:hAnsi="Arial" w:cs="Arial"/>
          <w:b/>
          <w:bCs/>
          <w:sz w:val="22"/>
          <w:szCs w:val="22"/>
        </w:rPr>
        <w:t>HOOF</w:t>
      </w:r>
      <w:proofErr w:type="gramEnd"/>
    </w:p>
    <w:p w14:paraId="713589BD" w14:textId="77777777" w:rsidR="00450AED" w:rsidRPr="00137CE7" w:rsidRDefault="00450AED" w:rsidP="006A1E38">
      <w:pPr>
        <w:spacing w:line="240" w:lineRule="auto"/>
        <w:contextualSpacing/>
        <w:jc w:val="both"/>
        <w:rPr>
          <w:rFonts w:ascii="Arial" w:hAnsi="Arial" w:cs="Arial"/>
          <w:b/>
          <w:bCs/>
          <w:sz w:val="22"/>
          <w:szCs w:val="22"/>
        </w:rPr>
      </w:pPr>
      <w:r w:rsidRPr="00137CE7">
        <w:rPr>
          <w:rFonts w:ascii="Arial" w:hAnsi="Arial" w:cs="Arial"/>
          <w:b/>
          <w:bCs/>
          <w:sz w:val="22"/>
          <w:szCs w:val="22"/>
        </w:rPr>
        <w:t>CAPSULE AND DISTAL PHALANX: A GEOMETRIC MORPHOMETRIC ANALYSIS</w:t>
      </w:r>
    </w:p>
    <w:p w14:paraId="5B4386DA" w14:textId="77777777" w:rsidR="00450AED" w:rsidRPr="00137CE7" w:rsidRDefault="00450AED" w:rsidP="006A1E38">
      <w:pPr>
        <w:spacing w:line="240" w:lineRule="auto"/>
        <w:contextualSpacing/>
        <w:jc w:val="both"/>
        <w:rPr>
          <w:rFonts w:ascii="Arial" w:hAnsi="Arial" w:cs="Arial"/>
          <w:b/>
          <w:bCs/>
          <w:sz w:val="22"/>
          <w:szCs w:val="22"/>
        </w:rPr>
      </w:pPr>
    </w:p>
    <w:p w14:paraId="2DF20DD3" w14:textId="77777777"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sz w:val="22"/>
          <w:szCs w:val="22"/>
        </w:rPr>
        <w:t>Authors: Russell D</w:t>
      </w:r>
      <w:r w:rsidRPr="00137CE7">
        <w:rPr>
          <w:rFonts w:ascii="Arial" w:hAnsi="Arial" w:cs="Arial"/>
          <w:sz w:val="22"/>
          <w:szCs w:val="22"/>
        </w:rPr>
        <w:t>.</w:t>
      </w:r>
      <w:r w:rsidRPr="00137CE7">
        <w:rPr>
          <w:rFonts w:ascii="Arial" w:hAnsi="Arial" w:cs="Arial"/>
          <w:sz w:val="22"/>
          <w:szCs w:val="22"/>
          <w:vertAlign w:val="superscript"/>
        </w:rPr>
        <w:t>1</w:t>
      </w:r>
      <w:r w:rsidRPr="00137CE7">
        <w:rPr>
          <w:rFonts w:ascii="Arial" w:hAnsi="Arial" w:cs="Arial"/>
          <w:sz w:val="22"/>
          <w:szCs w:val="22"/>
        </w:rPr>
        <w:t xml:space="preserve">, </w:t>
      </w:r>
      <w:r w:rsidRPr="00137CE7">
        <w:rPr>
          <w:rFonts w:ascii="Arial" w:hAnsi="Arial" w:cs="Arial"/>
          <w:sz w:val="22"/>
          <w:szCs w:val="22"/>
          <w:u w:val="single"/>
        </w:rPr>
        <w:t>Nabors B</w:t>
      </w:r>
      <w:r w:rsidRPr="00137CE7">
        <w:rPr>
          <w:rFonts w:ascii="Arial" w:hAnsi="Arial" w:cs="Arial"/>
          <w:sz w:val="22"/>
          <w:szCs w:val="22"/>
        </w:rPr>
        <w:t>.</w:t>
      </w:r>
      <w:r w:rsidRPr="00137CE7">
        <w:rPr>
          <w:rFonts w:ascii="Arial" w:hAnsi="Arial" w:cs="Arial"/>
          <w:sz w:val="22"/>
          <w:szCs w:val="22"/>
          <w:vertAlign w:val="superscript"/>
        </w:rPr>
        <w:t>1,2</w:t>
      </w:r>
    </w:p>
    <w:p w14:paraId="3A091C5D" w14:textId="7C7104F5"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sz w:val="22"/>
          <w:szCs w:val="22"/>
          <w:vertAlign w:val="superscript"/>
        </w:rPr>
        <w:t>1</w:t>
      </w:r>
      <w:r w:rsidRPr="00137CE7">
        <w:rPr>
          <w:rFonts w:ascii="Arial" w:hAnsi="Arial" w:cs="Arial"/>
          <w:sz w:val="22"/>
          <w:szCs w:val="22"/>
        </w:rPr>
        <w:t>Pathobiology and Population Medicine, Animal Health Center, Mississippi State</w:t>
      </w:r>
    </w:p>
    <w:p w14:paraId="0A91E4EB" w14:textId="77777777"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sz w:val="22"/>
          <w:szCs w:val="22"/>
        </w:rPr>
        <w:t>University, Starkville, Mississippi</w:t>
      </w:r>
    </w:p>
    <w:p w14:paraId="3CAE8AB6" w14:textId="77777777" w:rsidR="00450AED" w:rsidRPr="00137CE7" w:rsidRDefault="00450AED" w:rsidP="006A1E38">
      <w:pPr>
        <w:spacing w:line="240" w:lineRule="auto"/>
        <w:contextualSpacing/>
        <w:jc w:val="both"/>
        <w:rPr>
          <w:rFonts w:ascii="Arial" w:hAnsi="Arial" w:cs="Arial"/>
          <w:sz w:val="22"/>
          <w:szCs w:val="22"/>
        </w:rPr>
      </w:pPr>
    </w:p>
    <w:p w14:paraId="37CF49E2" w14:textId="23B90ADC"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Geometric morphometric (GMM) techniques were applied to assess</w:t>
      </w:r>
      <w:r w:rsidR="001F6E74">
        <w:rPr>
          <w:rFonts w:ascii="Arial" w:hAnsi="Arial" w:cs="Arial"/>
          <w:sz w:val="22"/>
          <w:szCs w:val="22"/>
        </w:rPr>
        <w:t xml:space="preserve"> </w:t>
      </w:r>
      <w:r w:rsidRPr="00137CE7">
        <w:rPr>
          <w:rFonts w:ascii="Arial" w:hAnsi="Arial" w:cs="Arial"/>
          <w:sz w:val="22"/>
          <w:szCs w:val="22"/>
        </w:rPr>
        <w:t>shape correspondence between P3 and the hoof capsule.</w:t>
      </w:r>
    </w:p>
    <w:p w14:paraId="39359B0A" w14:textId="63ED8F20"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Shape covariance between the hoof wall outline and P3 outline would be</w:t>
      </w:r>
      <w:r w:rsidR="001F6E74">
        <w:rPr>
          <w:rFonts w:ascii="Arial" w:hAnsi="Arial" w:cs="Arial"/>
          <w:sz w:val="22"/>
          <w:szCs w:val="22"/>
        </w:rPr>
        <w:t xml:space="preserve"> </w:t>
      </w:r>
      <w:r w:rsidRPr="00137CE7">
        <w:rPr>
          <w:rFonts w:ascii="Arial" w:hAnsi="Arial" w:cs="Arial"/>
          <w:sz w:val="22"/>
          <w:szCs w:val="22"/>
        </w:rPr>
        <w:t>significantly higher in proximal segments than distal segments.</w:t>
      </w:r>
    </w:p>
    <w:p w14:paraId="46C91122" w14:textId="41BA09E2"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1) Validate that the proximal segment of the hoof capsule most closely</w:t>
      </w:r>
      <w:r w:rsidR="001F6E74">
        <w:rPr>
          <w:rFonts w:ascii="Arial" w:hAnsi="Arial" w:cs="Arial"/>
          <w:sz w:val="22"/>
          <w:szCs w:val="22"/>
        </w:rPr>
        <w:t xml:space="preserve"> </w:t>
      </w:r>
      <w:r w:rsidRPr="00137CE7">
        <w:rPr>
          <w:rFonts w:ascii="Arial" w:hAnsi="Arial" w:cs="Arial"/>
          <w:sz w:val="22"/>
          <w:szCs w:val="22"/>
        </w:rPr>
        <w:t>correlates with P3 shape 2) Establish a workflow to digitally photograph the hoof and</w:t>
      </w:r>
      <w:r w:rsidR="001F6E74">
        <w:rPr>
          <w:rFonts w:ascii="Arial" w:hAnsi="Arial" w:cs="Arial"/>
          <w:sz w:val="22"/>
          <w:szCs w:val="22"/>
        </w:rPr>
        <w:t xml:space="preserve"> </w:t>
      </w:r>
      <w:r w:rsidRPr="00137CE7">
        <w:rPr>
          <w:rFonts w:ascii="Arial" w:hAnsi="Arial" w:cs="Arial"/>
          <w:sz w:val="22"/>
          <w:szCs w:val="22"/>
        </w:rPr>
        <w:t>P3, digitize landmarks in ImageJ, and export coordinates to R for morphometric</w:t>
      </w:r>
      <w:r w:rsidR="001F6E74">
        <w:rPr>
          <w:rFonts w:ascii="Arial" w:hAnsi="Arial" w:cs="Arial"/>
          <w:sz w:val="22"/>
          <w:szCs w:val="22"/>
        </w:rPr>
        <w:t xml:space="preserve"> </w:t>
      </w:r>
      <w:r w:rsidRPr="00137CE7">
        <w:rPr>
          <w:rFonts w:ascii="Arial" w:hAnsi="Arial" w:cs="Arial"/>
          <w:sz w:val="22"/>
          <w:szCs w:val="22"/>
        </w:rPr>
        <w:t>analysis.</w:t>
      </w:r>
    </w:p>
    <w:p w14:paraId="3F59B167" w14:textId="7EA3CAF8"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Twelve hoof-P3 pairs from three Quarter Horses were photographed and</w:t>
      </w:r>
      <w:r w:rsidR="001F6E74">
        <w:rPr>
          <w:rFonts w:ascii="Arial" w:hAnsi="Arial" w:cs="Arial"/>
          <w:sz w:val="22"/>
          <w:szCs w:val="22"/>
        </w:rPr>
        <w:t xml:space="preserve"> </w:t>
      </w:r>
      <w:r w:rsidRPr="00137CE7">
        <w:rPr>
          <w:rFonts w:ascii="Arial" w:hAnsi="Arial" w:cs="Arial"/>
          <w:sz w:val="22"/>
          <w:szCs w:val="22"/>
        </w:rPr>
        <w:t>digitized in ImageJ to generate landmark and outline-based coordinates for the dorsal</w:t>
      </w:r>
      <w:r w:rsidR="001F6E74">
        <w:rPr>
          <w:rFonts w:ascii="Arial" w:hAnsi="Arial" w:cs="Arial"/>
          <w:sz w:val="22"/>
          <w:szCs w:val="22"/>
        </w:rPr>
        <w:t xml:space="preserve"> </w:t>
      </w:r>
      <w:r w:rsidRPr="00137CE7">
        <w:rPr>
          <w:rFonts w:ascii="Arial" w:hAnsi="Arial" w:cs="Arial"/>
          <w:sz w:val="22"/>
          <w:szCs w:val="22"/>
        </w:rPr>
        <w:t>hoof wall and P3 aspect. Two-block partial least squares (PLS) analysis in R assessed</w:t>
      </w:r>
      <w:r w:rsidR="001F6E74">
        <w:rPr>
          <w:rFonts w:ascii="Arial" w:hAnsi="Arial" w:cs="Arial"/>
          <w:sz w:val="22"/>
          <w:szCs w:val="22"/>
        </w:rPr>
        <w:t xml:space="preserve"> </w:t>
      </w:r>
      <w:r w:rsidRPr="00137CE7">
        <w:rPr>
          <w:rFonts w:ascii="Arial" w:hAnsi="Arial" w:cs="Arial"/>
          <w:sz w:val="22"/>
          <w:szCs w:val="22"/>
        </w:rPr>
        <w:t>shape covariation across proximal, middle, and distal thirds.</w:t>
      </w:r>
    </w:p>
    <w:p w14:paraId="52B2F183" w14:textId="7B811BE9"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Contrary to our hypothesis, shape correspondence trended highest distally</w:t>
      </w:r>
      <w:r w:rsidR="001F6E74">
        <w:rPr>
          <w:rFonts w:ascii="Arial" w:hAnsi="Arial" w:cs="Arial"/>
          <w:sz w:val="22"/>
          <w:szCs w:val="22"/>
        </w:rPr>
        <w:t xml:space="preserve"> </w:t>
      </w:r>
      <w:r w:rsidRPr="00137CE7">
        <w:rPr>
          <w:rFonts w:ascii="Arial" w:hAnsi="Arial" w:cs="Arial"/>
          <w:sz w:val="22"/>
          <w:szCs w:val="22"/>
        </w:rPr>
        <w:t>and lowest proximally (r-PLS = 0.689, 0.566, and 0.49, respectively). The distal region</w:t>
      </w:r>
      <w:r w:rsidR="001F6E74">
        <w:rPr>
          <w:rFonts w:ascii="Arial" w:hAnsi="Arial" w:cs="Arial"/>
          <w:sz w:val="22"/>
          <w:szCs w:val="22"/>
        </w:rPr>
        <w:t xml:space="preserve"> </w:t>
      </w:r>
      <w:r w:rsidRPr="00137CE7">
        <w:rPr>
          <w:rFonts w:ascii="Arial" w:hAnsi="Arial" w:cs="Arial"/>
          <w:sz w:val="22"/>
          <w:szCs w:val="22"/>
        </w:rPr>
        <w:t>approached significance (p = 0.06); middle and proximal regions did not (p = 0.272 and</w:t>
      </w:r>
      <w:r w:rsidR="001F6E74">
        <w:rPr>
          <w:rFonts w:ascii="Arial" w:hAnsi="Arial" w:cs="Arial"/>
          <w:sz w:val="22"/>
          <w:szCs w:val="22"/>
        </w:rPr>
        <w:t xml:space="preserve"> </w:t>
      </w:r>
      <w:r w:rsidRPr="00137CE7">
        <w:rPr>
          <w:rFonts w:ascii="Arial" w:hAnsi="Arial" w:cs="Arial"/>
          <w:sz w:val="22"/>
          <w:szCs w:val="22"/>
        </w:rPr>
        <w:t xml:space="preserve">0.282). Given the </w:t>
      </w:r>
      <w:r w:rsidRPr="00137CE7">
        <w:rPr>
          <w:rFonts w:ascii="Arial" w:hAnsi="Arial" w:cs="Arial"/>
          <w:sz w:val="22"/>
          <w:szCs w:val="22"/>
        </w:rPr>
        <w:lastRenderedPageBreak/>
        <w:t>small sample size (n=12 feet from 3 horses, violating full</w:t>
      </w:r>
      <w:r w:rsidR="001F6E74">
        <w:rPr>
          <w:rFonts w:ascii="Arial" w:hAnsi="Arial" w:cs="Arial"/>
          <w:sz w:val="22"/>
          <w:szCs w:val="22"/>
        </w:rPr>
        <w:t xml:space="preserve"> </w:t>
      </w:r>
      <w:r w:rsidRPr="00137CE7">
        <w:rPr>
          <w:rFonts w:ascii="Arial" w:hAnsi="Arial" w:cs="Arial"/>
          <w:sz w:val="22"/>
          <w:szCs w:val="22"/>
        </w:rPr>
        <w:t>independence), this pilot study is underpowered to accept or reject the hypothesis, and</w:t>
      </w:r>
      <w:r w:rsidR="001F6E74">
        <w:rPr>
          <w:rFonts w:ascii="Arial" w:hAnsi="Arial" w:cs="Arial"/>
          <w:sz w:val="22"/>
          <w:szCs w:val="22"/>
        </w:rPr>
        <w:t xml:space="preserve"> </w:t>
      </w:r>
      <w:r w:rsidRPr="00137CE7">
        <w:rPr>
          <w:rFonts w:ascii="Arial" w:hAnsi="Arial" w:cs="Arial"/>
          <w:sz w:val="22"/>
          <w:szCs w:val="22"/>
        </w:rPr>
        <w:t>results should be interpreted as exploratory.</w:t>
      </w:r>
    </w:p>
    <w:p w14:paraId="1D41B17A" w14:textId="5731B475" w:rsidR="00450AED" w:rsidRPr="00137CE7" w:rsidRDefault="00450AED" w:rsidP="006A1E38">
      <w:pPr>
        <w:spacing w:line="240" w:lineRule="auto"/>
        <w:contextualSpacing/>
        <w:jc w:val="both"/>
        <w:rPr>
          <w:rFonts w:ascii="Arial" w:hAnsi="Arial" w:cs="Arial"/>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This initial analysis was limited to the dorsal hoof wall and P3 aspect.</w:t>
      </w:r>
      <w:r w:rsidR="001F6E74">
        <w:rPr>
          <w:rFonts w:ascii="Arial" w:hAnsi="Arial" w:cs="Arial"/>
          <w:sz w:val="22"/>
          <w:szCs w:val="22"/>
        </w:rPr>
        <w:t xml:space="preserve"> </w:t>
      </w:r>
      <w:r w:rsidRPr="00137CE7">
        <w:rPr>
          <w:rFonts w:ascii="Arial" w:hAnsi="Arial" w:cs="Arial"/>
          <w:sz w:val="22"/>
          <w:szCs w:val="22"/>
        </w:rPr>
        <w:t>Future work will incorporate palmar/plantar and solar margins with a larger, independent</w:t>
      </w:r>
      <w:r w:rsidR="001F6E74">
        <w:rPr>
          <w:rFonts w:ascii="Arial" w:hAnsi="Arial" w:cs="Arial"/>
          <w:sz w:val="22"/>
          <w:szCs w:val="22"/>
        </w:rPr>
        <w:t xml:space="preserve"> </w:t>
      </w:r>
      <w:r w:rsidRPr="00137CE7">
        <w:rPr>
          <w:rFonts w:ascii="Arial" w:hAnsi="Arial" w:cs="Arial"/>
          <w:sz w:val="22"/>
          <w:szCs w:val="22"/>
        </w:rPr>
        <w:t>sample to test region-specific shape covariation. If confirmed, a distal-region</w:t>
      </w:r>
      <w:r w:rsidR="001F6E74">
        <w:rPr>
          <w:rFonts w:ascii="Arial" w:hAnsi="Arial" w:cs="Arial"/>
          <w:sz w:val="22"/>
          <w:szCs w:val="22"/>
        </w:rPr>
        <w:t xml:space="preserve"> </w:t>
      </w:r>
      <w:r w:rsidRPr="00137CE7">
        <w:rPr>
          <w:rFonts w:ascii="Arial" w:hAnsi="Arial" w:cs="Arial"/>
          <w:sz w:val="22"/>
          <w:szCs w:val="22"/>
        </w:rPr>
        <w:t>correspondence trend could support external capsule geometry as a proxy for internal</w:t>
      </w:r>
      <w:r w:rsidR="001F6E74">
        <w:rPr>
          <w:rFonts w:ascii="Arial" w:hAnsi="Arial" w:cs="Arial"/>
          <w:sz w:val="22"/>
          <w:szCs w:val="22"/>
        </w:rPr>
        <w:t xml:space="preserve"> </w:t>
      </w:r>
      <w:r w:rsidRPr="00137CE7">
        <w:rPr>
          <w:rFonts w:ascii="Arial" w:hAnsi="Arial" w:cs="Arial"/>
          <w:sz w:val="22"/>
          <w:szCs w:val="22"/>
        </w:rPr>
        <w:t>P3 conformation, informing trimming and shoeing decisions without radiography</w:t>
      </w:r>
      <w:r w:rsidRPr="00137CE7">
        <w:rPr>
          <w:rFonts w:ascii="Arial" w:hAnsi="Arial" w:cs="Arial"/>
          <w:sz w:val="22"/>
          <w:szCs w:val="22"/>
        </w:rPr>
        <w:t>.</w:t>
      </w:r>
    </w:p>
    <w:p w14:paraId="1B44ED21" w14:textId="77777777" w:rsidR="00450AED" w:rsidRPr="00137CE7" w:rsidRDefault="00450AED" w:rsidP="006A1E38">
      <w:pPr>
        <w:spacing w:line="240" w:lineRule="auto"/>
        <w:contextualSpacing/>
        <w:jc w:val="both"/>
        <w:rPr>
          <w:rFonts w:ascii="Arial" w:hAnsi="Arial" w:cs="Arial"/>
          <w:sz w:val="22"/>
          <w:szCs w:val="22"/>
        </w:rPr>
      </w:pPr>
    </w:p>
    <w:p w14:paraId="6FB9B46F" w14:textId="3D35B3DF" w:rsidR="00450AED" w:rsidRPr="00137CE7" w:rsidRDefault="00450AED" w:rsidP="006A1E38">
      <w:pPr>
        <w:spacing w:line="240" w:lineRule="auto"/>
        <w:contextualSpacing/>
        <w:jc w:val="both"/>
        <w:rPr>
          <w:rFonts w:ascii="Arial" w:hAnsi="Arial" w:cs="Arial"/>
          <w:color w:val="000000"/>
          <w:kern w:val="0"/>
          <w:sz w:val="22"/>
          <w:szCs w:val="22"/>
        </w:rPr>
      </w:pPr>
      <w:r w:rsidRPr="00137CE7">
        <w:rPr>
          <w:rFonts w:ascii="Arial" w:hAnsi="Arial" w:cs="Arial"/>
          <w:b/>
          <w:bCs/>
          <w:sz w:val="22"/>
          <w:szCs w:val="22"/>
        </w:rPr>
        <w:t>Funding:</w:t>
      </w:r>
      <w:r w:rsidRPr="00137CE7">
        <w:rPr>
          <w:rFonts w:ascii="Arial" w:hAnsi="Arial" w:cs="Arial"/>
          <w:sz w:val="22"/>
          <w:szCs w:val="22"/>
        </w:rPr>
        <w:t xml:space="preserve"> </w:t>
      </w:r>
      <w:r w:rsidR="001F6E74" w:rsidRPr="00137CE7">
        <w:rPr>
          <w:rFonts w:ascii="Arial" w:hAnsi="Arial" w:cs="Arial"/>
          <w:sz w:val="22"/>
          <w:szCs w:val="22"/>
        </w:rPr>
        <w:t>Boehringer Ingelheim</w:t>
      </w:r>
      <w:r w:rsidR="001F6E74">
        <w:rPr>
          <w:rFonts w:ascii="Arial" w:hAnsi="Arial" w:cs="Arial"/>
          <w:sz w:val="22"/>
          <w:szCs w:val="22"/>
        </w:rPr>
        <w:t xml:space="preserve"> </w:t>
      </w:r>
      <w:r w:rsidR="001F6E74">
        <w:rPr>
          <w:rFonts w:ascii="Arial" w:hAnsi="Arial" w:cs="Arial"/>
          <w:color w:val="000000"/>
          <w:kern w:val="0"/>
          <w:sz w:val="22"/>
          <w:szCs w:val="22"/>
        </w:rPr>
        <w:t xml:space="preserve">and </w:t>
      </w:r>
      <w:r w:rsidRPr="00137CE7">
        <w:rPr>
          <w:rFonts w:ascii="Arial" w:hAnsi="Arial" w:cs="Arial"/>
          <w:color w:val="000000"/>
          <w:kern w:val="0"/>
          <w:sz w:val="22"/>
          <w:szCs w:val="22"/>
        </w:rPr>
        <w:t>MSU CVM Office of Research and Graduate Studies</w:t>
      </w:r>
      <w:r w:rsidR="00B404C6">
        <w:rPr>
          <w:rFonts w:ascii="Arial" w:hAnsi="Arial" w:cs="Arial"/>
          <w:color w:val="000000"/>
          <w:kern w:val="0"/>
          <w:sz w:val="22"/>
          <w:szCs w:val="22"/>
        </w:rPr>
        <w:t xml:space="preserve"> </w:t>
      </w:r>
    </w:p>
    <w:p w14:paraId="547A3AFC" w14:textId="52A6E066" w:rsidR="00450AED" w:rsidRPr="00137CE7" w:rsidRDefault="00450AED" w:rsidP="006A1E38">
      <w:pPr>
        <w:tabs>
          <w:tab w:val="left" w:pos="1111"/>
        </w:tabs>
        <w:spacing w:line="240" w:lineRule="auto"/>
        <w:contextualSpacing/>
        <w:jc w:val="both"/>
        <w:rPr>
          <w:rFonts w:ascii="Arial" w:hAnsi="Arial" w:cs="Arial"/>
          <w:sz w:val="22"/>
          <w:szCs w:val="22"/>
        </w:rPr>
      </w:pPr>
    </w:p>
    <w:p w14:paraId="50305194" w14:textId="77777777" w:rsidR="00450AED" w:rsidRPr="00137CE7" w:rsidRDefault="00450AED" w:rsidP="006A1E38">
      <w:pPr>
        <w:tabs>
          <w:tab w:val="left" w:pos="1111"/>
        </w:tabs>
        <w:spacing w:line="240" w:lineRule="auto"/>
        <w:contextualSpacing/>
        <w:jc w:val="both"/>
        <w:rPr>
          <w:rFonts w:ascii="Arial" w:hAnsi="Arial" w:cs="Arial"/>
          <w:b/>
          <w:bCs/>
          <w:sz w:val="22"/>
          <w:szCs w:val="22"/>
          <w:u w:val="single"/>
        </w:rPr>
      </w:pPr>
    </w:p>
    <w:p w14:paraId="483B896B" w14:textId="25B0BD64" w:rsidR="00450AED" w:rsidRPr="00137CE7" w:rsidRDefault="00450AED" w:rsidP="006A1E38">
      <w:pPr>
        <w:tabs>
          <w:tab w:val="left" w:pos="1111"/>
        </w:tabs>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ESTABLISHMENT OF IMMUNOLOGICAL AND HEMATOLOGICAL</w:t>
      </w:r>
      <w:r w:rsidR="00137CE7" w:rsidRPr="00137CE7">
        <w:rPr>
          <w:rFonts w:ascii="Arial" w:hAnsi="Arial" w:cs="Arial"/>
          <w:b/>
          <w:bCs/>
          <w:sz w:val="22"/>
          <w:szCs w:val="22"/>
        </w:rPr>
        <w:t xml:space="preserve"> </w:t>
      </w:r>
      <w:r w:rsidRPr="00137CE7">
        <w:rPr>
          <w:rFonts w:ascii="Arial" w:hAnsi="Arial" w:cs="Arial"/>
          <w:b/>
          <w:bCs/>
          <w:sz w:val="22"/>
          <w:szCs w:val="22"/>
        </w:rPr>
        <w:t>FUNCTIONAL ASSAYS IN BOTTLENOSE DOLPHIN STUDIES TO STUDY THE</w:t>
      </w:r>
      <w:r w:rsidR="00137CE7" w:rsidRPr="00137CE7">
        <w:rPr>
          <w:rFonts w:ascii="Arial" w:hAnsi="Arial" w:cs="Arial"/>
          <w:b/>
          <w:bCs/>
          <w:sz w:val="22"/>
          <w:szCs w:val="22"/>
        </w:rPr>
        <w:t xml:space="preserve"> </w:t>
      </w:r>
      <w:r w:rsidRPr="00137CE7">
        <w:rPr>
          <w:rFonts w:ascii="Arial" w:hAnsi="Arial" w:cs="Arial"/>
          <w:b/>
          <w:bCs/>
          <w:sz w:val="22"/>
          <w:szCs w:val="22"/>
        </w:rPr>
        <w:t>EFFECTS OF HEAVY METALS AND PCBS</w:t>
      </w:r>
    </w:p>
    <w:p w14:paraId="3DD673B2" w14:textId="77777777" w:rsidR="00450AED" w:rsidRPr="00137CE7" w:rsidRDefault="00450AED" w:rsidP="006A1E38">
      <w:pPr>
        <w:tabs>
          <w:tab w:val="left" w:pos="1111"/>
        </w:tabs>
        <w:spacing w:line="240" w:lineRule="auto"/>
        <w:contextualSpacing/>
        <w:jc w:val="both"/>
        <w:rPr>
          <w:rFonts w:ascii="Arial" w:hAnsi="Arial" w:cs="Arial"/>
          <w:sz w:val="22"/>
          <w:szCs w:val="22"/>
        </w:rPr>
      </w:pPr>
    </w:p>
    <w:p w14:paraId="2F13AF69" w14:textId="77777777"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sz w:val="22"/>
          <w:szCs w:val="22"/>
        </w:rPr>
        <w:t>Authors: Self, Jr., G</w:t>
      </w:r>
      <w:r w:rsidRPr="00137CE7">
        <w:rPr>
          <w:rFonts w:ascii="Arial" w:hAnsi="Arial" w:cs="Arial"/>
          <w:sz w:val="22"/>
          <w:szCs w:val="22"/>
          <w:vertAlign w:val="superscript"/>
        </w:rPr>
        <w:t>1</w:t>
      </w:r>
      <w:r w:rsidRPr="00137CE7">
        <w:rPr>
          <w:rFonts w:ascii="Arial" w:hAnsi="Arial" w:cs="Arial"/>
          <w:sz w:val="22"/>
          <w:szCs w:val="22"/>
        </w:rPr>
        <w:t>, Delaune, A</w:t>
      </w:r>
      <w:r w:rsidRPr="00137CE7">
        <w:rPr>
          <w:rFonts w:ascii="Arial" w:hAnsi="Arial" w:cs="Arial"/>
          <w:sz w:val="22"/>
          <w:szCs w:val="22"/>
          <w:vertAlign w:val="superscript"/>
        </w:rPr>
        <w:t>2</w:t>
      </w:r>
      <w:r w:rsidRPr="00137CE7">
        <w:rPr>
          <w:rFonts w:ascii="Arial" w:hAnsi="Arial" w:cs="Arial"/>
          <w:sz w:val="22"/>
          <w:szCs w:val="22"/>
        </w:rPr>
        <w:t xml:space="preserve">, </w:t>
      </w:r>
      <w:r w:rsidRPr="00137CE7">
        <w:rPr>
          <w:rFonts w:ascii="Arial" w:hAnsi="Arial" w:cs="Arial"/>
          <w:i/>
          <w:iCs/>
          <w:sz w:val="22"/>
          <w:szCs w:val="22"/>
        </w:rPr>
        <w:t>Kaplan, B</w:t>
      </w:r>
      <w:r w:rsidRPr="00137CE7">
        <w:rPr>
          <w:rFonts w:ascii="Arial" w:hAnsi="Arial" w:cs="Arial"/>
          <w:sz w:val="22"/>
          <w:szCs w:val="22"/>
          <w:vertAlign w:val="superscript"/>
        </w:rPr>
        <w:t>1,3,4</w:t>
      </w:r>
      <w:r w:rsidRPr="00137CE7">
        <w:rPr>
          <w:rFonts w:ascii="Arial" w:hAnsi="Arial" w:cs="Arial"/>
          <w:sz w:val="22"/>
          <w:szCs w:val="22"/>
        </w:rPr>
        <w:t xml:space="preserve">, and </w:t>
      </w:r>
      <w:r w:rsidRPr="00137CE7">
        <w:rPr>
          <w:rFonts w:ascii="Arial" w:hAnsi="Arial" w:cs="Arial"/>
          <w:i/>
          <w:iCs/>
          <w:sz w:val="22"/>
          <w:szCs w:val="22"/>
        </w:rPr>
        <w:t>Peterman, B</w:t>
      </w:r>
      <w:r w:rsidRPr="00137CE7">
        <w:rPr>
          <w:rFonts w:ascii="Arial" w:hAnsi="Arial" w:cs="Arial"/>
          <w:sz w:val="22"/>
          <w:szCs w:val="22"/>
          <w:vertAlign w:val="superscript"/>
        </w:rPr>
        <w:t>1,4,5</w:t>
      </w:r>
    </w:p>
    <w:p w14:paraId="242CD3D8" w14:textId="1333364D"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sz w:val="22"/>
          <w:szCs w:val="22"/>
          <w:vertAlign w:val="superscript"/>
        </w:rPr>
        <w:t>1</w:t>
      </w:r>
      <w:r w:rsidRPr="00137CE7">
        <w:rPr>
          <w:rFonts w:ascii="Arial" w:hAnsi="Arial" w:cs="Arial"/>
          <w:sz w:val="22"/>
          <w:szCs w:val="22"/>
        </w:rPr>
        <w:t>Office of Research and Graduate Studies, College of Veterinary Medicine,</w:t>
      </w:r>
      <w:r w:rsidRPr="00137CE7">
        <w:rPr>
          <w:rFonts w:ascii="Arial" w:hAnsi="Arial" w:cs="Arial"/>
          <w:sz w:val="22"/>
          <w:szCs w:val="22"/>
        </w:rPr>
        <w:t xml:space="preserve"> </w:t>
      </w:r>
      <w:r w:rsidRPr="00137CE7">
        <w:rPr>
          <w:rFonts w:ascii="Arial" w:hAnsi="Arial" w:cs="Arial"/>
          <w:sz w:val="22"/>
          <w:szCs w:val="22"/>
        </w:rPr>
        <w:t>Mississippi State University, Mississippi State, M</w:t>
      </w:r>
      <w:r w:rsidRPr="00137CE7">
        <w:rPr>
          <w:rFonts w:ascii="Arial" w:hAnsi="Arial" w:cs="Arial"/>
          <w:sz w:val="22"/>
          <w:szCs w:val="22"/>
        </w:rPr>
        <w:t xml:space="preserve">S; </w:t>
      </w:r>
      <w:r w:rsidRPr="00137CE7">
        <w:rPr>
          <w:rFonts w:ascii="Arial" w:hAnsi="Arial" w:cs="Arial"/>
          <w:sz w:val="22"/>
          <w:szCs w:val="22"/>
          <w:vertAlign w:val="superscript"/>
        </w:rPr>
        <w:t>2</w:t>
      </w:r>
      <w:r w:rsidRPr="00137CE7">
        <w:rPr>
          <w:rFonts w:ascii="Arial" w:hAnsi="Arial" w:cs="Arial"/>
          <w:sz w:val="22"/>
          <w:szCs w:val="22"/>
        </w:rPr>
        <w:t>Veterinary Care, Mississippi Aquarium, Gulfport, Mississippi</w:t>
      </w:r>
      <w:r w:rsidRPr="00137CE7">
        <w:rPr>
          <w:rFonts w:ascii="Arial" w:hAnsi="Arial" w:cs="Arial"/>
          <w:sz w:val="22"/>
          <w:szCs w:val="22"/>
        </w:rPr>
        <w:t xml:space="preserve">; </w:t>
      </w:r>
      <w:r w:rsidRPr="00137CE7">
        <w:rPr>
          <w:rFonts w:ascii="Arial" w:hAnsi="Arial" w:cs="Arial"/>
          <w:sz w:val="22"/>
          <w:szCs w:val="22"/>
          <w:vertAlign w:val="superscript"/>
        </w:rPr>
        <w:t>3</w:t>
      </w:r>
      <w:r w:rsidRPr="00137CE7">
        <w:rPr>
          <w:rFonts w:ascii="Arial" w:hAnsi="Arial" w:cs="Arial"/>
          <w:sz w:val="22"/>
          <w:szCs w:val="22"/>
        </w:rPr>
        <w:t>Department of Comparative Biomedical Sciences, College of Veterinary</w:t>
      </w:r>
      <w:r w:rsidRPr="00137CE7">
        <w:rPr>
          <w:rFonts w:ascii="Arial" w:hAnsi="Arial" w:cs="Arial"/>
          <w:sz w:val="22"/>
          <w:szCs w:val="22"/>
        </w:rPr>
        <w:t xml:space="preserve"> </w:t>
      </w:r>
      <w:r w:rsidRPr="00137CE7">
        <w:rPr>
          <w:rFonts w:ascii="Arial" w:hAnsi="Arial" w:cs="Arial"/>
          <w:sz w:val="22"/>
          <w:szCs w:val="22"/>
        </w:rPr>
        <w:t>Medicine, Mississippi State University, Mississippi State, MS</w:t>
      </w:r>
      <w:r w:rsidRPr="00137CE7">
        <w:rPr>
          <w:rFonts w:ascii="Arial" w:hAnsi="Arial" w:cs="Arial"/>
          <w:sz w:val="22"/>
          <w:szCs w:val="22"/>
        </w:rPr>
        <w:t xml:space="preserve">; </w:t>
      </w:r>
      <w:r w:rsidRPr="00137CE7">
        <w:rPr>
          <w:rFonts w:ascii="Arial" w:hAnsi="Arial" w:cs="Arial"/>
          <w:sz w:val="22"/>
          <w:szCs w:val="22"/>
          <w:vertAlign w:val="superscript"/>
        </w:rPr>
        <w:t>4</w:t>
      </w:r>
      <w:r w:rsidRPr="00137CE7">
        <w:rPr>
          <w:rFonts w:ascii="Arial" w:hAnsi="Arial" w:cs="Arial"/>
          <w:sz w:val="22"/>
          <w:szCs w:val="22"/>
        </w:rPr>
        <w:t>Department of Pathobiology and Population Medicine, College of</w:t>
      </w:r>
      <w:r w:rsidRPr="00137CE7">
        <w:rPr>
          <w:rFonts w:ascii="Arial" w:hAnsi="Arial" w:cs="Arial"/>
          <w:sz w:val="22"/>
          <w:szCs w:val="22"/>
        </w:rPr>
        <w:t xml:space="preserve"> </w:t>
      </w:r>
      <w:r w:rsidRPr="00137CE7">
        <w:rPr>
          <w:rFonts w:ascii="Arial" w:hAnsi="Arial" w:cs="Arial"/>
          <w:sz w:val="22"/>
          <w:szCs w:val="22"/>
        </w:rPr>
        <w:t>Veterinary Medicine, Mississippi State University, Mississippi State, MS</w:t>
      </w:r>
      <w:r w:rsidRPr="00137CE7">
        <w:rPr>
          <w:rFonts w:ascii="Arial" w:hAnsi="Arial" w:cs="Arial"/>
          <w:sz w:val="22"/>
          <w:szCs w:val="22"/>
        </w:rPr>
        <w:t xml:space="preserve">; </w:t>
      </w:r>
      <w:r w:rsidRPr="00137CE7">
        <w:rPr>
          <w:rFonts w:ascii="Arial" w:hAnsi="Arial" w:cs="Arial"/>
          <w:sz w:val="22"/>
          <w:szCs w:val="22"/>
          <w:vertAlign w:val="superscript"/>
        </w:rPr>
        <w:t>5</w:t>
      </w:r>
      <w:r w:rsidRPr="00137CE7">
        <w:rPr>
          <w:rFonts w:ascii="Arial" w:hAnsi="Arial" w:cs="Arial"/>
          <w:sz w:val="22"/>
          <w:szCs w:val="22"/>
        </w:rPr>
        <w:t>Global Center for Aquatic Health and Food Security, College of Veterinary</w:t>
      </w:r>
      <w:r w:rsidRPr="00137CE7">
        <w:rPr>
          <w:rFonts w:ascii="Arial" w:hAnsi="Arial" w:cs="Arial"/>
          <w:sz w:val="22"/>
          <w:szCs w:val="22"/>
        </w:rPr>
        <w:t xml:space="preserve"> </w:t>
      </w:r>
      <w:r w:rsidRPr="00137CE7">
        <w:rPr>
          <w:rFonts w:ascii="Arial" w:hAnsi="Arial" w:cs="Arial"/>
          <w:sz w:val="22"/>
          <w:szCs w:val="22"/>
        </w:rPr>
        <w:t>Medicine, Mississippi State University, Mississippi State, MS</w:t>
      </w:r>
    </w:p>
    <w:p w14:paraId="01205CA3" w14:textId="77777777" w:rsidR="00450AED" w:rsidRPr="00137CE7" w:rsidRDefault="00450AED" w:rsidP="006A1E38">
      <w:pPr>
        <w:tabs>
          <w:tab w:val="left" w:pos="1111"/>
        </w:tabs>
        <w:spacing w:line="240" w:lineRule="auto"/>
        <w:contextualSpacing/>
        <w:jc w:val="both"/>
        <w:rPr>
          <w:rFonts w:ascii="Arial" w:hAnsi="Arial" w:cs="Arial"/>
          <w:sz w:val="22"/>
          <w:szCs w:val="22"/>
        </w:rPr>
      </w:pPr>
    </w:p>
    <w:p w14:paraId="243C65B7" w14:textId="012B84C9"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Environmental pollutants like polychlorinated biphenyls (PCBs) and</w:t>
      </w:r>
      <w:r w:rsidR="009824DE" w:rsidRPr="00137CE7">
        <w:rPr>
          <w:rFonts w:ascii="Arial" w:hAnsi="Arial" w:cs="Arial"/>
          <w:sz w:val="22"/>
          <w:szCs w:val="22"/>
        </w:rPr>
        <w:t xml:space="preserve"> </w:t>
      </w:r>
      <w:r w:rsidRPr="00137CE7">
        <w:rPr>
          <w:rFonts w:ascii="Arial" w:hAnsi="Arial" w:cs="Arial"/>
          <w:sz w:val="22"/>
          <w:szCs w:val="22"/>
        </w:rPr>
        <w:t>heavy metals pose a concern to marine environments due to their effects on marine life.</w:t>
      </w:r>
      <w:r w:rsidR="009824DE" w:rsidRPr="00137CE7">
        <w:rPr>
          <w:rFonts w:ascii="Arial" w:hAnsi="Arial" w:cs="Arial"/>
          <w:sz w:val="22"/>
          <w:szCs w:val="22"/>
        </w:rPr>
        <w:t xml:space="preserve"> </w:t>
      </w:r>
      <w:r w:rsidRPr="00137CE7">
        <w:rPr>
          <w:rFonts w:ascii="Arial" w:hAnsi="Arial" w:cs="Arial"/>
          <w:sz w:val="22"/>
          <w:szCs w:val="22"/>
        </w:rPr>
        <w:t>Bottlenose dolphins (</w:t>
      </w:r>
      <w:r w:rsidRPr="00137CE7">
        <w:rPr>
          <w:rFonts w:ascii="Arial" w:hAnsi="Arial" w:cs="Arial"/>
          <w:i/>
          <w:iCs/>
          <w:sz w:val="22"/>
          <w:szCs w:val="22"/>
        </w:rPr>
        <w:t>Tursiops truncatus</w:t>
      </w:r>
      <w:r w:rsidRPr="00137CE7">
        <w:rPr>
          <w:rFonts w:ascii="Arial" w:hAnsi="Arial" w:cs="Arial"/>
          <w:sz w:val="22"/>
          <w:szCs w:val="22"/>
        </w:rPr>
        <w:t>) are aquatic predators with a risk of</w:t>
      </w:r>
      <w:r w:rsidR="009824DE" w:rsidRPr="00137CE7">
        <w:rPr>
          <w:rFonts w:ascii="Arial" w:hAnsi="Arial" w:cs="Arial"/>
          <w:sz w:val="22"/>
          <w:szCs w:val="22"/>
        </w:rPr>
        <w:t xml:space="preserve"> </w:t>
      </w:r>
      <w:r w:rsidRPr="00137CE7">
        <w:rPr>
          <w:rFonts w:ascii="Arial" w:hAnsi="Arial" w:cs="Arial"/>
          <w:sz w:val="22"/>
          <w:szCs w:val="22"/>
        </w:rPr>
        <w:t>bioaccumulation due to absorption of PCBs and metals from their environment, and</w:t>
      </w:r>
      <w:r w:rsidR="009824DE" w:rsidRPr="00137CE7">
        <w:rPr>
          <w:rFonts w:ascii="Arial" w:hAnsi="Arial" w:cs="Arial"/>
          <w:sz w:val="22"/>
          <w:szCs w:val="22"/>
        </w:rPr>
        <w:t xml:space="preserve"> </w:t>
      </w:r>
      <w:r w:rsidRPr="00137CE7">
        <w:rPr>
          <w:rFonts w:ascii="Arial" w:hAnsi="Arial" w:cs="Arial"/>
          <w:sz w:val="22"/>
          <w:szCs w:val="22"/>
        </w:rPr>
        <w:t>consumption from prey species.</w:t>
      </w:r>
    </w:p>
    <w:p w14:paraId="6F998AF3" w14:textId="5537697E"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We hypothesized that PCBs and heavy metals bioaccumulate in blubber,</w:t>
      </w:r>
      <w:r w:rsidR="009824DE" w:rsidRPr="00137CE7">
        <w:rPr>
          <w:rFonts w:ascii="Arial" w:hAnsi="Arial" w:cs="Arial"/>
          <w:sz w:val="22"/>
          <w:szCs w:val="22"/>
        </w:rPr>
        <w:t xml:space="preserve"> </w:t>
      </w:r>
      <w:r w:rsidRPr="00137CE7">
        <w:rPr>
          <w:rFonts w:ascii="Arial" w:hAnsi="Arial" w:cs="Arial"/>
          <w:sz w:val="22"/>
          <w:szCs w:val="22"/>
        </w:rPr>
        <w:t>liver, kidneys, and muscle of wild dolphins; and peripheral blood mononuclear cells can</w:t>
      </w:r>
      <w:r w:rsidR="009824DE" w:rsidRPr="00137CE7">
        <w:rPr>
          <w:rFonts w:ascii="Arial" w:hAnsi="Arial" w:cs="Arial"/>
          <w:sz w:val="22"/>
          <w:szCs w:val="22"/>
        </w:rPr>
        <w:t xml:space="preserve"> </w:t>
      </w:r>
      <w:r w:rsidRPr="00137CE7">
        <w:rPr>
          <w:rFonts w:ascii="Arial" w:hAnsi="Arial" w:cs="Arial"/>
          <w:sz w:val="22"/>
          <w:szCs w:val="22"/>
        </w:rPr>
        <w:t>be isolated from blood and assess immune function.</w:t>
      </w:r>
    </w:p>
    <w:p w14:paraId="400ABE9A" w14:textId="2C3BA68E"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1) Quantify heavy metals and PCB bioaccumulation in major tissues of wild</w:t>
      </w:r>
      <w:r w:rsidR="00137CE7" w:rsidRPr="00137CE7">
        <w:rPr>
          <w:rFonts w:ascii="Arial" w:hAnsi="Arial" w:cs="Arial"/>
          <w:sz w:val="22"/>
          <w:szCs w:val="22"/>
        </w:rPr>
        <w:t xml:space="preserve"> </w:t>
      </w:r>
      <w:r w:rsidRPr="00137CE7">
        <w:rPr>
          <w:rFonts w:ascii="Arial" w:hAnsi="Arial" w:cs="Arial"/>
          <w:sz w:val="22"/>
          <w:szCs w:val="22"/>
        </w:rPr>
        <w:t>dolphins. 2) Optimize qPCR for TNF-α gene expression and flow cytometry for</w:t>
      </w:r>
      <w:r w:rsidR="009824DE" w:rsidRPr="00137CE7">
        <w:rPr>
          <w:rFonts w:ascii="Arial" w:hAnsi="Arial" w:cs="Arial"/>
          <w:sz w:val="22"/>
          <w:szCs w:val="22"/>
        </w:rPr>
        <w:t xml:space="preserve"> </w:t>
      </w:r>
      <w:r w:rsidRPr="00137CE7">
        <w:rPr>
          <w:rFonts w:ascii="Arial" w:hAnsi="Arial" w:cs="Arial"/>
          <w:sz w:val="22"/>
          <w:szCs w:val="22"/>
        </w:rPr>
        <w:t>morphological characterization and proliferation as functional assays in dolphin immune</w:t>
      </w:r>
      <w:r w:rsidR="009824DE" w:rsidRPr="00137CE7">
        <w:rPr>
          <w:rFonts w:ascii="Arial" w:hAnsi="Arial" w:cs="Arial"/>
          <w:sz w:val="22"/>
          <w:szCs w:val="22"/>
        </w:rPr>
        <w:t xml:space="preserve"> </w:t>
      </w:r>
      <w:r w:rsidRPr="00137CE7">
        <w:rPr>
          <w:rFonts w:ascii="Arial" w:hAnsi="Arial" w:cs="Arial"/>
          <w:sz w:val="22"/>
          <w:szCs w:val="22"/>
        </w:rPr>
        <w:t>cells.</w:t>
      </w:r>
    </w:p>
    <w:p w14:paraId="54DAE407" w14:textId="407A8778"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Blubber, muscle, liver, and kidney tissues from wild dolphins sampled and</w:t>
      </w:r>
      <w:r w:rsidR="009824DE" w:rsidRPr="00137CE7">
        <w:rPr>
          <w:rFonts w:ascii="Arial" w:hAnsi="Arial" w:cs="Arial"/>
          <w:sz w:val="22"/>
          <w:szCs w:val="22"/>
        </w:rPr>
        <w:t xml:space="preserve"> </w:t>
      </w:r>
      <w:r w:rsidRPr="00137CE7">
        <w:rPr>
          <w:rFonts w:ascii="Arial" w:hAnsi="Arial" w:cs="Arial"/>
          <w:sz w:val="22"/>
          <w:szCs w:val="22"/>
        </w:rPr>
        <w:t>analyzed for bioaccumulation. PBMCs were isolated from captive bottlenose blood</w:t>
      </w:r>
      <w:r w:rsidR="009824DE" w:rsidRPr="00137CE7">
        <w:rPr>
          <w:rFonts w:ascii="Arial" w:hAnsi="Arial" w:cs="Arial"/>
          <w:sz w:val="22"/>
          <w:szCs w:val="22"/>
        </w:rPr>
        <w:t xml:space="preserve"> </w:t>
      </w:r>
      <w:r w:rsidRPr="00137CE7">
        <w:rPr>
          <w:rFonts w:ascii="Arial" w:hAnsi="Arial" w:cs="Arial"/>
          <w:sz w:val="22"/>
          <w:szCs w:val="22"/>
        </w:rPr>
        <w:t>samples and stimulated with Phorbol Ester and Calcium Ionophore and</w:t>
      </w:r>
      <w:r w:rsidR="009824DE" w:rsidRPr="00137CE7">
        <w:rPr>
          <w:rFonts w:ascii="Arial" w:hAnsi="Arial" w:cs="Arial"/>
          <w:sz w:val="22"/>
          <w:szCs w:val="22"/>
        </w:rPr>
        <w:t xml:space="preserve"> </w:t>
      </w:r>
      <w:r w:rsidRPr="00137CE7">
        <w:rPr>
          <w:rFonts w:ascii="Arial" w:hAnsi="Arial" w:cs="Arial"/>
          <w:sz w:val="22"/>
          <w:szCs w:val="22"/>
        </w:rPr>
        <w:t>lipopolysaccharide. Cells were analyzed with qPCR for TNF-α, PGK-1, and RPL-4</w:t>
      </w:r>
      <w:r w:rsidR="009824DE" w:rsidRPr="00137CE7">
        <w:rPr>
          <w:rFonts w:ascii="Arial" w:hAnsi="Arial" w:cs="Arial"/>
          <w:sz w:val="22"/>
          <w:szCs w:val="22"/>
        </w:rPr>
        <w:t xml:space="preserve"> </w:t>
      </w:r>
      <w:r w:rsidRPr="00137CE7">
        <w:rPr>
          <w:rFonts w:ascii="Arial" w:hAnsi="Arial" w:cs="Arial"/>
          <w:sz w:val="22"/>
          <w:szCs w:val="22"/>
        </w:rPr>
        <w:t>responses, flow cytometry for proliferation and Wright-Giemsa for staining.</w:t>
      </w:r>
    </w:p>
    <w:p w14:paraId="362A5C91" w14:textId="4472C8D0"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PCB and metal bioaccumulations were significantly greater in males than</w:t>
      </w:r>
      <w:r w:rsidR="009824DE" w:rsidRPr="00137CE7">
        <w:rPr>
          <w:rFonts w:ascii="Arial" w:hAnsi="Arial" w:cs="Arial"/>
          <w:sz w:val="22"/>
          <w:szCs w:val="22"/>
        </w:rPr>
        <w:t xml:space="preserve"> </w:t>
      </w:r>
      <w:r w:rsidRPr="00137CE7">
        <w:rPr>
          <w:rFonts w:ascii="Arial" w:hAnsi="Arial" w:cs="Arial"/>
          <w:sz w:val="22"/>
          <w:szCs w:val="22"/>
        </w:rPr>
        <w:t>females. The liver and kidneys demonstrated significant positive correlations of</w:t>
      </w:r>
      <w:r w:rsidR="009824DE" w:rsidRPr="00137CE7">
        <w:rPr>
          <w:rFonts w:ascii="Arial" w:hAnsi="Arial" w:cs="Arial"/>
          <w:sz w:val="22"/>
          <w:szCs w:val="22"/>
        </w:rPr>
        <w:t xml:space="preserve"> </w:t>
      </w:r>
      <w:r w:rsidRPr="00137CE7">
        <w:rPr>
          <w:rFonts w:ascii="Arial" w:hAnsi="Arial" w:cs="Arial"/>
          <w:sz w:val="22"/>
          <w:szCs w:val="22"/>
        </w:rPr>
        <w:t>bioaccumulation compared to the blubber and muscle. qPCR showed significant</w:t>
      </w:r>
      <w:r w:rsidR="009824DE" w:rsidRPr="00137CE7">
        <w:rPr>
          <w:rFonts w:ascii="Arial" w:hAnsi="Arial" w:cs="Arial"/>
          <w:sz w:val="22"/>
          <w:szCs w:val="22"/>
        </w:rPr>
        <w:t xml:space="preserve"> </w:t>
      </w:r>
      <w:r w:rsidRPr="00137CE7">
        <w:rPr>
          <w:rFonts w:ascii="Arial" w:hAnsi="Arial" w:cs="Arial"/>
          <w:sz w:val="22"/>
          <w:szCs w:val="22"/>
        </w:rPr>
        <w:t>upregulation in TNF-α in stimulated cells, and flow cytometry showed increased</w:t>
      </w:r>
      <w:r w:rsidR="009824DE" w:rsidRPr="00137CE7">
        <w:rPr>
          <w:rFonts w:ascii="Arial" w:hAnsi="Arial" w:cs="Arial"/>
          <w:sz w:val="22"/>
          <w:szCs w:val="22"/>
        </w:rPr>
        <w:t xml:space="preserve"> </w:t>
      </w:r>
      <w:r w:rsidRPr="00137CE7">
        <w:rPr>
          <w:rFonts w:ascii="Arial" w:hAnsi="Arial" w:cs="Arial"/>
          <w:sz w:val="22"/>
          <w:szCs w:val="22"/>
        </w:rPr>
        <w:t>proliferation of highly granular PBMCs.</w:t>
      </w:r>
    </w:p>
    <w:p w14:paraId="3CEBB5BA" w14:textId="69D6C5B5"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The significant response to chemical stimulation demonstrates the</w:t>
      </w:r>
      <w:r w:rsidR="009824DE" w:rsidRPr="00137CE7">
        <w:rPr>
          <w:rFonts w:ascii="Arial" w:hAnsi="Arial" w:cs="Arial"/>
          <w:sz w:val="22"/>
          <w:szCs w:val="22"/>
        </w:rPr>
        <w:t xml:space="preserve"> </w:t>
      </w:r>
      <w:r w:rsidRPr="00137CE7">
        <w:rPr>
          <w:rFonts w:ascii="Arial" w:hAnsi="Arial" w:cs="Arial"/>
          <w:sz w:val="22"/>
          <w:szCs w:val="22"/>
        </w:rPr>
        <w:t>foundation for developing a functional immunological assay to determine if PCBs or</w:t>
      </w:r>
      <w:r w:rsidR="009824DE" w:rsidRPr="00137CE7">
        <w:rPr>
          <w:rFonts w:ascii="Arial" w:hAnsi="Arial" w:cs="Arial"/>
          <w:sz w:val="22"/>
          <w:szCs w:val="22"/>
        </w:rPr>
        <w:t xml:space="preserve"> </w:t>
      </w:r>
      <w:r w:rsidRPr="00137CE7">
        <w:rPr>
          <w:rFonts w:ascii="Arial" w:hAnsi="Arial" w:cs="Arial"/>
          <w:sz w:val="22"/>
          <w:szCs w:val="22"/>
        </w:rPr>
        <w:t>heavy metals have immune-altering effects in dolphin immune cells have been</w:t>
      </w:r>
      <w:r w:rsidR="009824DE" w:rsidRPr="00137CE7">
        <w:rPr>
          <w:rFonts w:ascii="Arial" w:hAnsi="Arial" w:cs="Arial"/>
          <w:sz w:val="22"/>
          <w:szCs w:val="22"/>
        </w:rPr>
        <w:t xml:space="preserve"> </w:t>
      </w:r>
      <w:r w:rsidRPr="00137CE7">
        <w:rPr>
          <w:rFonts w:ascii="Arial" w:hAnsi="Arial" w:cs="Arial"/>
          <w:sz w:val="22"/>
          <w:szCs w:val="22"/>
        </w:rPr>
        <w:t>established.</w:t>
      </w:r>
    </w:p>
    <w:p w14:paraId="3A63818D" w14:textId="77777777" w:rsidR="00450AED" w:rsidRPr="00137CE7" w:rsidRDefault="00450AED" w:rsidP="006A1E38">
      <w:pPr>
        <w:tabs>
          <w:tab w:val="left" w:pos="1111"/>
        </w:tabs>
        <w:spacing w:line="240" w:lineRule="auto"/>
        <w:contextualSpacing/>
        <w:jc w:val="both"/>
        <w:rPr>
          <w:rFonts w:ascii="Arial" w:hAnsi="Arial" w:cs="Arial"/>
          <w:sz w:val="22"/>
          <w:szCs w:val="22"/>
        </w:rPr>
      </w:pPr>
    </w:p>
    <w:p w14:paraId="0CFB8706" w14:textId="53DE7F86" w:rsidR="00450AED" w:rsidRPr="00137CE7" w:rsidRDefault="00450AED" w:rsidP="006A1E38">
      <w:pPr>
        <w:tabs>
          <w:tab w:val="left" w:pos="1111"/>
        </w:tabs>
        <w:spacing w:line="240" w:lineRule="auto"/>
        <w:contextualSpacing/>
        <w:jc w:val="both"/>
        <w:rPr>
          <w:rFonts w:ascii="Arial" w:hAnsi="Arial" w:cs="Arial"/>
          <w:sz w:val="22"/>
          <w:szCs w:val="22"/>
        </w:rPr>
      </w:pPr>
      <w:r w:rsidRPr="00137CE7">
        <w:rPr>
          <w:rFonts w:ascii="Arial" w:hAnsi="Arial" w:cs="Arial"/>
          <w:b/>
          <w:bCs/>
          <w:sz w:val="22"/>
          <w:szCs w:val="22"/>
        </w:rPr>
        <w:t>Funding:</w:t>
      </w:r>
      <w:r w:rsidRPr="00137CE7">
        <w:rPr>
          <w:rFonts w:ascii="Arial" w:hAnsi="Arial" w:cs="Arial"/>
          <w:sz w:val="22"/>
          <w:szCs w:val="22"/>
        </w:rPr>
        <w:t xml:space="preserve"> Boehringer Ingelheim</w:t>
      </w:r>
      <w:r w:rsidR="00B404C6">
        <w:rPr>
          <w:rFonts w:ascii="Arial" w:hAnsi="Arial" w:cs="Arial"/>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p w14:paraId="261D4171" w14:textId="77777777" w:rsidR="00450AED" w:rsidRPr="00137CE7" w:rsidRDefault="00450AED" w:rsidP="006A1E38">
      <w:pPr>
        <w:tabs>
          <w:tab w:val="left" w:pos="1111"/>
        </w:tabs>
        <w:spacing w:line="240" w:lineRule="auto"/>
        <w:contextualSpacing/>
        <w:jc w:val="both"/>
        <w:rPr>
          <w:rFonts w:ascii="Arial" w:hAnsi="Arial" w:cs="Arial"/>
          <w:sz w:val="22"/>
          <w:szCs w:val="22"/>
        </w:rPr>
      </w:pPr>
    </w:p>
    <w:p w14:paraId="6072C960" w14:textId="77777777" w:rsidR="00450AED" w:rsidRPr="00137CE7" w:rsidRDefault="00450AED" w:rsidP="006A1E38">
      <w:pPr>
        <w:tabs>
          <w:tab w:val="left" w:pos="1111"/>
        </w:tabs>
        <w:spacing w:line="240" w:lineRule="auto"/>
        <w:contextualSpacing/>
        <w:jc w:val="both"/>
        <w:rPr>
          <w:rFonts w:ascii="Arial" w:hAnsi="Arial" w:cs="Arial"/>
          <w:b/>
          <w:bCs/>
          <w:sz w:val="22"/>
          <w:szCs w:val="22"/>
        </w:rPr>
      </w:pPr>
    </w:p>
    <w:p w14:paraId="49E813C8" w14:textId="77777777" w:rsidR="0010469B" w:rsidRPr="00137CE7" w:rsidRDefault="0010469B" w:rsidP="006A1E38">
      <w:pPr>
        <w:tabs>
          <w:tab w:val="left" w:pos="1111"/>
        </w:tabs>
        <w:spacing w:line="240" w:lineRule="auto"/>
        <w:contextualSpacing/>
        <w:jc w:val="both"/>
        <w:rPr>
          <w:rFonts w:ascii="Arial" w:hAnsi="Arial" w:cs="Arial"/>
          <w:b/>
          <w:bCs/>
          <w:sz w:val="22"/>
          <w:szCs w:val="22"/>
        </w:rPr>
      </w:pPr>
      <w:r w:rsidRPr="00137CE7">
        <w:rPr>
          <w:rFonts w:ascii="Arial" w:hAnsi="Arial" w:cs="Arial"/>
          <w:b/>
          <w:bCs/>
          <w:sz w:val="22"/>
          <w:szCs w:val="22"/>
          <w:u w:val="single"/>
        </w:rPr>
        <w:t>Title:</w:t>
      </w:r>
      <w:r w:rsidRPr="00137CE7">
        <w:rPr>
          <w:rFonts w:ascii="Arial" w:hAnsi="Arial" w:cs="Arial"/>
          <w:b/>
          <w:bCs/>
          <w:sz w:val="22"/>
          <w:szCs w:val="22"/>
        </w:rPr>
        <w:t xml:space="preserve"> IMPACT OF CANINEBEAT® AI ON VETERINARY EDUCATION AND CLIENT</w:t>
      </w:r>
    </w:p>
    <w:p w14:paraId="674BCF13" w14:textId="77777777" w:rsidR="0010469B" w:rsidRPr="00137CE7" w:rsidRDefault="0010469B" w:rsidP="006A1E38">
      <w:pPr>
        <w:tabs>
          <w:tab w:val="left" w:pos="1111"/>
        </w:tabs>
        <w:spacing w:line="240" w:lineRule="auto"/>
        <w:contextualSpacing/>
        <w:jc w:val="both"/>
        <w:rPr>
          <w:rFonts w:ascii="Arial" w:hAnsi="Arial" w:cs="Arial"/>
          <w:b/>
          <w:bCs/>
          <w:sz w:val="22"/>
          <w:szCs w:val="22"/>
        </w:rPr>
      </w:pPr>
      <w:r w:rsidRPr="00137CE7">
        <w:rPr>
          <w:rFonts w:ascii="Arial" w:hAnsi="Arial" w:cs="Arial"/>
          <w:b/>
          <w:bCs/>
          <w:sz w:val="22"/>
          <w:szCs w:val="22"/>
        </w:rPr>
        <w:lastRenderedPageBreak/>
        <w:t>COMPLIANCE: A PILOT STUDY</w:t>
      </w:r>
    </w:p>
    <w:p w14:paraId="31843421" w14:textId="77777777" w:rsidR="0010469B" w:rsidRPr="00137CE7" w:rsidRDefault="0010469B" w:rsidP="006A1E38">
      <w:pPr>
        <w:tabs>
          <w:tab w:val="left" w:pos="1111"/>
        </w:tabs>
        <w:spacing w:line="240" w:lineRule="auto"/>
        <w:contextualSpacing/>
        <w:jc w:val="both"/>
        <w:rPr>
          <w:rFonts w:ascii="Arial" w:hAnsi="Arial" w:cs="Arial"/>
          <w:sz w:val="22"/>
          <w:szCs w:val="22"/>
        </w:rPr>
      </w:pPr>
    </w:p>
    <w:p w14:paraId="6253E990" w14:textId="77777777"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sz w:val="22"/>
          <w:szCs w:val="22"/>
        </w:rPr>
        <w:t>Authors: Thornsberry M.</w:t>
      </w:r>
      <w:r w:rsidRPr="00137CE7">
        <w:rPr>
          <w:rFonts w:ascii="Arial" w:hAnsi="Arial" w:cs="Arial"/>
          <w:sz w:val="22"/>
          <w:szCs w:val="22"/>
          <w:vertAlign w:val="superscript"/>
        </w:rPr>
        <w:t>1</w:t>
      </w:r>
      <w:r w:rsidRPr="00137CE7">
        <w:rPr>
          <w:rFonts w:ascii="Arial" w:hAnsi="Arial" w:cs="Arial"/>
          <w:sz w:val="22"/>
          <w:szCs w:val="22"/>
        </w:rPr>
        <w:t xml:space="preserve">, </w:t>
      </w:r>
      <w:r w:rsidRPr="00137CE7">
        <w:rPr>
          <w:rFonts w:ascii="Arial" w:hAnsi="Arial" w:cs="Arial"/>
          <w:i/>
          <w:iCs/>
          <w:sz w:val="22"/>
          <w:szCs w:val="22"/>
        </w:rPr>
        <w:t>Bryan C</w:t>
      </w:r>
      <w:r w:rsidRPr="00137CE7">
        <w:rPr>
          <w:rFonts w:ascii="Arial" w:hAnsi="Arial" w:cs="Arial"/>
          <w:sz w:val="22"/>
          <w:szCs w:val="22"/>
        </w:rPr>
        <w:t>.</w:t>
      </w:r>
      <w:r w:rsidRPr="00137CE7">
        <w:rPr>
          <w:rFonts w:ascii="Arial" w:hAnsi="Arial" w:cs="Arial"/>
          <w:sz w:val="22"/>
          <w:szCs w:val="22"/>
          <w:vertAlign w:val="superscript"/>
        </w:rPr>
        <w:t>1</w:t>
      </w:r>
      <w:r w:rsidRPr="00137CE7">
        <w:rPr>
          <w:rFonts w:ascii="Arial" w:hAnsi="Arial" w:cs="Arial"/>
          <w:sz w:val="22"/>
          <w:szCs w:val="22"/>
        </w:rPr>
        <w:t xml:space="preserve">, </w:t>
      </w:r>
      <w:r w:rsidRPr="00137CE7">
        <w:rPr>
          <w:rFonts w:ascii="Arial" w:hAnsi="Arial" w:cs="Arial"/>
          <w:i/>
          <w:iCs/>
          <w:sz w:val="22"/>
          <w:szCs w:val="22"/>
        </w:rPr>
        <w:t>Kaplan, B</w:t>
      </w:r>
      <w:r w:rsidRPr="00137CE7">
        <w:rPr>
          <w:rFonts w:ascii="Arial" w:hAnsi="Arial" w:cs="Arial"/>
          <w:sz w:val="22"/>
          <w:szCs w:val="22"/>
        </w:rPr>
        <w:t>.</w:t>
      </w:r>
      <w:r w:rsidRPr="00137CE7">
        <w:rPr>
          <w:rFonts w:ascii="Arial" w:hAnsi="Arial" w:cs="Arial"/>
          <w:sz w:val="22"/>
          <w:szCs w:val="22"/>
          <w:vertAlign w:val="superscript"/>
        </w:rPr>
        <w:t>2</w:t>
      </w:r>
    </w:p>
    <w:p w14:paraId="48341519" w14:textId="151BFF5F"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sz w:val="22"/>
          <w:szCs w:val="22"/>
          <w:vertAlign w:val="superscript"/>
        </w:rPr>
        <w:t>1</w:t>
      </w:r>
      <w:r w:rsidRPr="00137CE7">
        <w:rPr>
          <w:rFonts w:ascii="Arial" w:hAnsi="Arial" w:cs="Arial"/>
          <w:sz w:val="22"/>
          <w:szCs w:val="22"/>
        </w:rPr>
        <w:t>Department of Clinical Sciences, Mississippi State University College of</w:t>
      </w:r>
    </w:p>
    <w:p w14:paraId="53428221" w14:textId="57FAD15C"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sz w:val="22"/>
          <w:szCs w:val="22"/>
        </w:rPr>
        <w:t>Veterinary Medicine, Mississippi State, Mississippi, USA.</w:t>
      </w:r>
      <w:r w:rsidRPr="00137CE7">
        <w:rPr>
          <w:rFonts w:ascii="Arial" w:hAnsi="Arial" w:cs="Arial"/>
          <w:sz w:val="22"/>
          <w:szCs w:val="22"/>
        </w:rPr>
        <w:t xml:space="preserve">; </w:t>
      </w:r>
      <w:r w:rsidRPr="00137CE7">
        <w:rPr>
          <w:rFonts w:ascii="Arial" w:hAnsi="Arial" w:cs="Arial"/>
          <w:sz w:val="22"/>
          <w:szCs w:val="22"/>
          <w:vertAlign w:val="superscript"/>
        </w:rPr>
        <w:t>2</w:t>
      </w:r>
      <w:r w:rsidRPr="00137CE7">
        <w:rPr>
          <w:rFonts w:ascii="Arial" w:hAnsi="Arial" w:cs="Arial"/>
          <w:sz w:val="22"/>
          <w:szCs w:val="22"/>
        </w:rPr>
        <w:t>Center for Environmental Health Sciences, Department of Comparative</w:t>
      </w:r>
      <w:r w:rsidRPr="00137CE7">
        <w:rPr>
          <w:rFonts w:ascii="Arial" w:hAnsi="Arial" w:cs="Arial"/>
          <w:sz w:val="22"/>
          <w:szCs w:val="22"/>
        </w:rPr>
        <w:t xml:space="preserve"> </w:t>
      </w:r>
      <w:r w:rsidRPr="00137CE7">
        <w:rPr>
          <w:rFonts w:ascii="Arial" w:hAnsi="Arial" w:cs="Arial"/>
          <w:sz w:val="22"/>
          <w:szCs w:val="22"/>
        </w:rPr>
        <w:t>Biomedical Sciences, College of Veterinary Medicine, Mississippi State</w:t>
      </w:r>
      <w:r w:rsidRPr="00137CE7">
        <w:rPr>
          <w:rFonts w:ascii="Arial" w:hAnsi="Arial" w:cs="Arial"/>
          <w:sz w:val="22"/>
          <w:szCs w:val="22"/>
        </w:rPr>
        <w:t xml:space="preserve"> </w:t>
      </w:r>
      <w:r w:rsidRPr="00137CE7">
        <w:rPr>
          <w:rFonts w:ascii="Arial" w:hAnsi="Arial" w:cs="Arial"/>
          <w:sz w:val="22"/>
          <w:szCs w:val="22"/>
        </w:rPr>
        <w:t>University, Mississippi State, Mississippi, USA.</w:t>
      </w:r>
    </w:p>
    <w:p w14:paraId="5A721B25" w14:textId="77777777" w:rsidR="0010469B" w:rsidRPr="00137CE7" w:rsidRDefault="0010469B" w:rsidP="006A1E38">
      <w:pPr>
        <w:tabs>
          <w:tab w:val="left" w:pos="1111"/>
        </w:tabs>
        <w:spacing w:line="240" w:lineRule="auto"/>
        <w:contextualSpacing/>
        <w:jc w:val="both"/>
        <w:rPr>
          <w:rFonts w:ascii="Arial" w:hAnsi="Arial" w:cs="Arial"/>
          <w:i/>
          <w:iCs/>
          <w:sz w:val="22"/>
          <w:szCs w:val="22"/>
        </w:rPr>
      </w:pPr>
    </w:p>
    <w:p w14:paraId="238C34FF" w14:textId="71CBB00F"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Background</w:t>
      </w:r>
      <w:r w:rsidRPr="00137CE7">
        <w:rPr>
          <w:rFonts w:ascii="Arial" w:hAnsi="Arial" w:cs="Arial"/>
          <w:b/>
          <w:bCs/>
          <w:sz w:val="22"/>
          <w:szCs w:val="22"/>
        </w:rPr>
        <w:t>:</w:t>
      </w:r>
      <w:r w:rsidRPr="00137CE7">
        <w:rPr>
          <w:rFonts w:ascii="Arial" w:hAnsi="Arial" w:cs="Arial"/>
          <w:sz w:val="22"/>
          <w:szCs w:val="22"/>
        </w:rPr>
        <w:t xml:space="preserve"> Veterinary medical education aims to prepare students for clinical</w:t>
      </w:r>
      <w:r w:rsidRPr="00137CE7">
        <w:rPr>
          <w:rFonts w:ascii="Arial" w:hAnsi="Arial" w:cs="Arial"/>
          <w:sz w:val="22"/>
          <w:szCs w:val="22"/>
        </w:rPr>
        <w:t xml:space="preserve"> </w:t>
      </w:r>
      <w:r w:rsidRPr="00137CE7">
        <w:rPr>
          <w:rFonts w:ascii="Arial" w:hAnsi="Arial" w:cs="Arial"/>
          <w:sz w:val="22"/>
          <w:szCs w:val="22"/>
        </w:rPr>
        <w:t>competency, but the development of physical examination and communication skills</w:t>
      </w:r>
      <w:r w:rsidRPr="00137CE7">
        <w:rPr>
          <w:rFonts w:ascii="Arial" w:hAnsi="Arial" w:cs="Arial"/>
          <w:sz w:val="22"/>
          <w:szCs w:val="22"/>
        </w:rPr>
        <w:t xml:space="preserve"> </w:t>
      </w:r>
      <w:r w:rsidRPr="00137CE7">
        <w:rPr>
          <w:rFonts w:ascii="Arial" w:hAnsi="Arial" w:cs="Arial"/>
          <w:sz w:val="22"/>
          <w:szCs w:val="22"/>
        </w:rPr>
        <w:t>requires improvement. The long-term goal of this project is to determine the impact of</w:t>
      </w:r>
      <w:r w:rsidRPr="00137CE7">
        <w:rPr>
          <w:rFonts w:ascii="Arial" w:hAnsi="Arial" w:cs="Arial"/>
          <w:sz w:val="22"/>
          <w:szCs w:val="22"/>
        </w:rPr>
        <w:t xml:space="preserve"> </w:t>
      </w:r>
      <w:r w:rsidRPr="00137CE7">
        <w:rPr>
          <w:rFonts w:ascii="Arial" w:hAnsi="Arial" w:cs="Arial"/>
          <w:sz w:val="22"/>
          <w:szCs w:val="22"/>
        </w:rPr>
        <w:t>CANINEBEAT® AI, a heart murmur detecting algorithm, on client compliance with</w:t>
      </w:r>
      <w:r w:rsidRPr="00137CE7">
        <w:rPr>
          <w:rFonts w:ascii="Arial" w:hAnsi="Arial" w:cs="Arial"/>
          <w:sz w:val="22"/>
          <w:szCs w:val="22"/>
        </w:rPr>
        <w:t xml:space="preserve"> </w:t>
      </w:r>
      <w:r w:rsidRPr="00137CE7">
        <w:rPr>
          <w:rFonts w:ascii="Arial" w:hAnsi="Arial" w:cs="Arial"/>
          <w:sz w:val="22"/>
          <w:szCs w:val="22"/>
        </w:rPr>
        <w:t>diagnostic recommendations and veterinary student’s canine murmur detection and</w:t>
      </w:r>
      <w:r w:rsidRPr="00137CE7">
        <w:rPr>
          <w:rFonts w:ascii="Arial" w:hAnsi="Arial" w:cs="Arial"/>
          <w:sz w:val="22"/>
          <w:szCs w:val="22"/>
        </w:rPr>
        <w:t xml:space="preserve"> </w:t>
      </w:r>
      <w:r w:rsidRPr="00137CE7">
        <w:rPr>
          <w:rFonts w:ascii="Arial" w:hAnsi="Arial" w:cs="Arial"/>
          <w:sz w:val="22"/>
          <w:szCs w:val="22"/>
        </w:rPr>
        <w:t>grading accuracy.</w:t>
      </w:r>
    </w:p>
    <w:p w14:paraId="42F01E44" w14:textId="519022DC"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Hypothesis</w:t>
      </w:r>
      <w:r w:rsidRPr="00137CE7">
        <w:rPr>
          <w:rFonts w:ascii="Arial" w:hAnsi="Arial" w:cs="Arial"/>
          <w:b/>
          <w:bCs/>
          <w:sz w:val="22"/>
          <w:szCs w:val="22"/>
        </w:rPr>
        <w:t>:</w:t>
      </w:r>
      <w:r w:rsidRPr="00137CE7">
        <w:rPr>
          <w:rFonts w:ascii="Arial" w:hAnsi="Arial" w:cs="Arial"/>
          <w:sz w:val="22"/>
          <w:szCs w:val="22"/>
        </w:rPr>
        <w:t xml:space="preserve"> We hypothesized that incorporating CANINEBEAT® AI into the primary</w:t>
      </w:r>
      <w:r w:rsidR="008F4EA1" w:rsidRPr="00137CE7">
        <w:rPr>
          <w:rFonts w:ascii="Arial" w:hAnsi="Arial" w:cs="Arial"/>
          <w:sz w:val="22"/>
          <w:szCs w:val="22"/>
        </w:rPr>
        <w:t xml:space="preserve"> </w:t>
      </w:r>
      <w:r w:rsidRPr="00137CE7">
        <w:rPr>
          <w:rFonts w:ascii="Arial" w:hAnsi="Arial" w:cs="Arial"/>
          <w:sz w:val="22"/>
          <w:szCs w:val="22"/>
        </w:rPr>
        <w:t>care clinical rotation would result in increased murmur detection in canine patients.</w:t>
      </w:r>
    </w:p>
    <w:p w14:paraId="1110FD74" w14:textId="31011DB6"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Objectives</w:t>
      </w:r>
      <w:r w:rsidRPr="00137CE7">
        <w:rPr>
          <w:rFonts w:ascii="Arial" w:hAnsi="Arial" w:cs="Arial"/>
          <w:b/>
          <w:bCs/>
          <w:sz w:val="22"/>
          <w:szCs w:val="22"/>
        </w:rPr>
        <w:t>:</w:t>
      </w:r>
      <w:r w:rsidRPr="00137CE7">
        <w:rPr>
          <w:rFonts w:ascii="Arial" w:hAnsi="Arial" w:cs="Arial"/>
          <w:sz w:val="22"/>
          <w:szCs w:val="22"/>
        </w:rPr>
        <w:t xml:space="preserve"> 1.) Determine the prevalence of heart murmurs in canine patients</w:t>
      </w:r>
      <w:r w:rsidR="008F4EA1" w:rsidRPr="00137CE7">
        <w:rPr>
          <w:rFonts w:ascii="Arial" w:hAnsi="Arial" w:cs="Arial"/>
          <w:sz w:val="22"/>
          <w:szCs w:val="22"/>
        </w:rPr>
        <w:t xml:space="preserve"> </w:t>
      </w:r>
      <w:r w:rsidRPr="00137CE7">
        <w:rPr>
          <w:rFonts w:ascii="Arial" w:hAnsi="Arial" w:cs="Arial"/>
          <w:sz w:val="22"/>
          <w:szCs w:val="22"/>
        </w:rPr>
        <w:t>presenting to Mississippi State CVM Clinical Veterinary Services. 2.) Determine the rate</w:t>
      </w:r>
      <w:r w:rsidR="008F4EA1" w:rsidRPr="00137CE7">
        <w:rPr>
          <w:rFonts w:ascii="Arial" w:hAnsi="Arial" w:cs="Arial"/>
          <w:sz w:val="22"/>
          <w:szCs w:val="22"/>
        </w:rPr>
        <w:t xml:space="preserve"> </w:t>
      </w:r>
      <w:r w:rsidRPr="00137CE7">
        <w:rPr>
          <w:rFonts w:ascii="Arial" w:hAnsi="Arial" w:cs="Arial"/>
          <w:sz w:val="22"/>
          <w:szCs w:val="22"/>
        </w:rPr>
        <w:t>of client compliance with diagnostic recommendations. 3.) Assess the feasibility of the</w:t>
      </w:r>
      <w:r w:rsidR="008F4EA1" w:rsidRPr="00137CE7">
        <w:rPr>
          <w:rFonts w:ascii="Arial" w:hAnsi="Arial" w:cs="Arial"/>
          <w:sz w:val="22"/>
          <w:szCs w:val="22"/>
        </w:rPr>
        <w:t xml:space="preserve"> </w:t>
      </w:r>
      <w:r w:rsidRPr="00137CE7">
        <w:rPr>
          <w:rFonts w:ascii="Arial" w:hAnsi="Arial" w:cs="Arial"/>
          <w:sz w:val="22"/>
          <w:szCs w:val="22"/>
        </w:rPr>
        <w:t>proposed methodology.</w:t>
      </w:r>
    </w:p>
    <w:p w14:paraId="67EBBB48" w14:textId="15DD587D"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Methods</w:t>
      </w:r>
      <w:r w:rsidRPr="00137CE7">
        <w:rPr>
          <w:rFonts w:ascii="Arial" w:hAnsi="Arial" w:cs="Arial"/>
          <w:b/>
          <w:bCs/>
          <w:sz w:val="22"/>
          <w:szCs w:val="22"/>
        </w:rPr>
        <w:t>:</w:t>
      </w:r>
      <w:r w:rsidRPr="00137CE7">
        <w:rPr>
          <w:rFonts w:ascii="Arial" w:hAnsi="Arial" w:cs="Arial"/>
          <w:sz w:val="22"/>
          <w:szCs w:val="22"/>
        </w:rPr>
        <w:t xml:space="preserve"> A search of electronic medical records from 2021-2025 was conducted to</w:t>
      </w:r>
      <w:r w:rsidR="008F4EA1" w:rsidRPr="00137CE7">
        <w:rPr>
          <w:rFonts w:ascii="Arial" w:hAnsi="Arial" w:cs="Arial"/>
          <w:sz w:val="22"/>
          <w:szCs w:val="22"/>
        </w:rPr>
        <w:t xml:space="preserve"> </w:t>
      </w:r>
      <w:r w:rsidRPr="00137CE7">
        <w:rPr>
          <w:rFonts w:ascii="Arial" w:hAnsi="Arial" w:cs="Arial"/>
          <w:sz w:val="22"/>
          <w:szCs w:val="22"/>
        </w:rPr>
        <w:t>identify canine patients with heart murmurs and any diagnostic recommendations made.</w:t>
      </w:r>
      <w:r w:rsidR="008F4EA1" w:rsidRPr="00137CE7">
        <w:rPr>
          <w:rFonts w:ascii="Arial" w:hAnsi="Arial" w:cs="Arial"/>
          <w:sz w:val="22"/>
          <w:szCs w:val="22"/>
        </w:rPr>
        <w:t xml:space="preserve"> </w:t>
      </w:r>
      <w:r w:rsidRPr="00137CE7">
        <w:rPr>
          <w:rFonts w:ascii="Arial" w:hAnsi="Arial" w:cs="Arial"/>
          <w:sz w:val="22"/>
          <w:szCs w:val="22"/>
        </w:rPr>
        <w:t>Prevalence and rate of client compliance were calculated. Canine patients were</w:t>
      </w:r>
      <w:r w:rsidR="008F4EA1" w:rsidRPr="00137CE7">
        <w:rPr>
          <w:rFonts w:ascii="Arial" w:hAnsi="Arial" w:cs="Arial"/>
          <w:sz w:val="22"/>
          <w:szCs w:val="22"/>
        </w:rPr>
        <w:t xml:space="preserve"> </w:t>
      </w:r>
      <w:r w:rsidRPr="00137CE7">
        <w:rPr>
          <w:rFonts w:ascii="Arial" w:hAnsi="Arial" w:cs="Arial"/>
          <w:sz w:val="22"/>
          <w:szCs w:val="22"/>
        </w:rPr>
        <w:t>auscultated using acoustic and digital stethoscopes by observers with varying</w:t>
      </w:r>
      <w:r w:rsidR="008F4EA1" w:rsidRPr="00137CE7">
        <w:rPr>
          <w:rFonts w:ascii="Arial" w:hAnsi="Arial" w:cs="Arial"/>
          <w:sz w:val="22"/>
          <w:szCs w:val="22"/>
        </w:rPr>
        <w:t xml:space="preserve"> </w:t>
      </w:r>
      <w:r w:rsidRPr="00137CE7">
        <w:rPr>
          <w:rFonts w:ascii="Arial" w:hAnsi="Arial" w:cs="Arial"/>
          <w:sz w:val="22"/>
          <w:szCs w:val="22"/>
        </w:rPr>
        <w:t>experience level. Heart sounds were analyzed by CANINEBEAT® AI. Results were</w:t>
      </w:r>
      <w:r w:rsidR="008F4EA1" w:rsidRPr="00137CE7">
        <w:rPr>
          <w:rFonts w:ascii="Arial" w:hAnsi="Arial" w:cs="Arial"/>
          <w:sz w:val="22"/>
          <w:szCs w:val="22"/>
        </w:rPr>
        <w:t xml:space="preserve"> </w:t>
      </w:r>
      <w:r w:rsidRPr="00137CE7">
        <w:rPr>
          <w:rFonts w:ascii="Arial" w:hAnsi="Arial" w:cs="Arial"/>
          <w:sz w:val="22"/>
          <w:szCs w:val="22"/>
        </w:rPr>
        <w:t>provided to all observers.</w:t>
      </w:r>
    </w:p>
    <w:p w14:paraId="12B3D27D" w14:textId="6113AEB1"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Results</w:t>
      </w:r>
      <w:r w:rsidRPr="00137CE7">
        <w:rPr>
          <w:rFonts w:ascii="Arial" w:hAnsi="Arial" w:cs="Arial"/>
          <w:b/>
          <w:bCs/>
          <w:sz w:val="22"/>
          <w:szCs w:val="22"/>
        </w:rPr>
        <w:t>:</w:t>
      </w:r>
      <w:r w:rsidRPr="00137CE7">
        <w:rPr>
          <w:rFonts w:ascii="Arial" w:hAnsi="Arial" w:cs="Arial"/>
          <w:sz w:val="22"/>
          <w:szCs w:val="22"/>
        </w:rPr>
        <w:t xml:space="preserve"> The average annual prevalence of canine heart murmurs was 2.43%. The</w:t>
      </w:r>
      <w:r w:rsidR="008F4EA1" w:rsidRPr="00137CE7">
        <w:rPr>
          <w:rFonts w:ascii="Arial" w:hAnsi="Arial" w:cs="Arial"/>
          <w:sz w:val="22"/>
          <w:szCs w:val="22"/>
        </w:rPr>
        <w:t xml:space="preserve"> </w:t>
      </w:r>
      <w:r w:rsidRPr="00137CE7">
        <w:rPr>
          <w:rFonts w:ascii="Arial" w:hAnsi="Arial" w:cs="Arial"/>
          <w:sz w:val="22"/>
          <w:szCs w:val="22"/>
        </w:rPr>
        <w:t>average annual rate of client compliance was 38.95% Twenty-one dogs were</w:t>
      </w:r>
      <w:r w:rsidR="008F4EA1" w:rsidRPr="00137CE7">
        <w:rPr>
          <w:rFonts w:ascii="Arial" w:hAnsi="Arial" w:cs="Arial"/>
          <w:sz w:val="22"/>
          <w:szCs w:val="22"/>
        </w:rPr>
        <w:t xml:space="preserve"> </w:t>
      </w:r>
      <w:r w:rsidRPr="00137CE7">
        <w:rPr>
          <w:rFonts w:ascii="Arial" w:hAnsi="Arial" w:cs="Arial"/>
          <w:sz w:val="22"/>
          <w:szCs w:val="22"/>
        </w:rPr>
        <w:t>auscultated and eight murmurs were detected, four of which were accurate detections.</w:t>
      </w:r>
    </w:p>
    <w:p w14:paraId="5CA29106" w14:textId="35F1632B"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i/>
          <w:iCs/>
          <w:sz w:val="22"/>
          <w:szCs w:val="22"/>
        </w:rPr>
        <w:t>Conclusion</w:t>
      </w:r>
      <w:r w:rsidRPr="00137CE7">
        <w:rPr>
          <w:rFonts w:ascii="Arial" w:hAnsi="Arial" w:cs="Arial"/>
          <w:b/>
          <w:bCs/>
          <w:sz w:val="22"/>
          <w:szCs w:val="22"/>
        </w:rPr>
        <w:t>:</w:t>
      </w:r>
      <w:r w:rsidRPr="00137CE7">
        <w:rPr>
          <w:rFonts w:ascii="Arial" w:hAnsi="Arial" w:cs="Arial"/>
          <w:sz w:val="22"/>
          <w:szCs w:val="22"/>
        </w:rPr>
        <w:t xml:space="preserve"> An updated research protocol was developed and includes tips for</w:t>
      </w:r>
      <w:r w:rsidR="008F4EA1" w:rsidRPr="00137CE7">
        <w:rPr>
          <w:rFonts w:ascii="Arial" w:hAnsi="Arial" w:cs="Arial"/>
          <w:sz w:val="22"/>
          <w:szCs w:val="22"/>
        </w:rPr>
        <w:t xml:space="preserve"> </w:t>
      </w:r>
      <w:r w:rsidRPr="00137CE7">
        <w:rPr>
          <w:rFonts w:ascii="Arial" w:hAnsi="Arial" w:cs="Arial"/>
          <w:sz w:val="22"/>
          <w:szCs w:val="22"/>
        </w:rPr>
        <w:t>successful AI implementation, troubleshooting resources, and suggested training. To</w:t>
      </w:r>
      <w:r w:rsidR="008F4EA1" w:rsidRPr="00137CE7">
        <w:rPr>
          <w:rFonts w:ascii="Arial" w:hAnsi="Arial" w:cs="Arial"/>
          <w:sz w:val="22"/>
          <w:szCs w:val="22"/>
        </w:rPr>
        <w:t xml:space="preserve"> </w:t>
      </w:r>
      <w:r w:rsidRPr="00137CE7">
        <w:rPr>
          <w:rFonts w:ascii="Arial" w:hAnsi="Arial" w:cs="Arial"/>
          <w:sz w:val="22"/>
          <w:szCs w:val="22"/>
        </w:rPr>
        <w:t>support our hypothesis, continued data collection at Mississippi State is required. Next</w:t>
      </w:r>
      <w:r w:rsidR="008F4EA1" w:rsidRPr="00137CE7">
        <w:rPr>
          <w:rFonts w:ascii="Arial" w:hAnsi="Arial" w:cs="Arial"/>
          <w:sz w:val="22"/>
          <w:szCs w:val="22"/>
        </w:rPr>
        <w:t xml:space="preserve"> </w:t>
      </w:r>
      <w:r w:rsidRPr="00137CE7">
        <w:rPr>
          <w:rFonts w:ascii="Arial" w:hAnsi="Arial" w:cs="Arial"/>
          <w:sz w:val="22"/>
          <w:szCs w:val="22"/>
        </w:rPr>
        <w:t>steps include expanding the study to additional vet schools.</w:t>
      </w:r>
    </w:p>
    <w:p w14:paraId="3BE4370E" w14:textId="77777777" w:rsidR="0010469B" w:rsidRPr="00137CE7" w:rsidRDefault="0010469B" w:rsidP="006A1E38">
      <w:pPr>
        <w:tabs>
          <w:tab w:val="left" w:pos="1111"/>
        </w:tabs>
        <w:spacing w:line="240" w:lineRule="auto"/>
        <w:contextualSpacing/>
        <w:jc w:val="both"/>
        <w:rPr>
          <w:rFonts w:ascii="Arial" w:hAnsi="Arial" w:cs="Arial"/>
          <w:sz w:val="22"/>
          <w:szCs w:val="22"/>
        </w:rPr>
      </w:pPr>
    </w:p>
    <w:p w14:paraId="3265D981" w14:textId="39A058D0" w:rsidR="0010469B" w:rsidRPr="00137CE7" w:rsidRDefault="0010469B" w:rsidP="006A1E38">
      <w:pPr>
        <w:tabs>
          <w:tab w:val="left" w:pos="1111"/>
        </w:tabs>
        <w:spacing w:line="240" w:lineRule="auto"/>
        <w:contextualSpacing/>
        <w:jc w:val="both"/>
        <w:rPr>
          <w:rFonts w:ascii="Arial" w:hAnsi="Arial" w:cs="Arial"/>
          <w:sz w:val="22"/>
          <w:szCs w:val="22"/>
        </w:rPr>
      </w:pPr>
      <w:r w:rsidRPr="00137CE7">
        <w:rPr>
          <w:rFonts w:ascii="Arial" w:hAnsi="Arial" w:cs="Arial"/>
          <w:b/>
          <w:bCs/>
          <w:sz w:val="22"/>
          <w:szCs w:val="22"/>
        </w:rPr>
        <w:t>Funding:</w:t>
      </w:r>
      <w:r w:rsidRPr="00137CE7">
        <w:rPr>
          <w:rFonts w:ascii="Arial" w:hAnsi="Arial" w:cs="Arial"/>
          <w:sz w:val="22"/>
          <w:szCs w:val="22"/>
        </w:rPr>
        <w:t xml:space="preserve"> Boehringer Ingelheim</w:t>
      </w:r>
      <w:r w:rsidR="00B404C6">
        <w:rPr>
          <w:rFonts w:ascii="Arial" w:hAnsi="Arial" w:cs="Arial"/>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p w14:paraId="69186EA7" w14:textId="77777777" w:rsidR="00137CE7" w:rsidRPr="00137CE7" w:rsidRDefault="00137CE7" w:rsidP="006A1E38">
      <w:pPr>
        <w:autoSpaceDE w:val="0"/>
        <w:autoSpaceDN w:val="0"/>
        <w:adjustRightInd w:val="0"/>
        <w:spacing w:after="0" w:line="240" w:lineRule="auto"/>
        <w:contextualSpacing/>
        <w:jc w:val="both"/>
        <w:rPr>
          <w:rFonts w:ascii="Arial" w:hAnsi="Arial" w:cs="Arial"/>
          <w:color w:val="000000"/>
          <w:kern w:val="0"/>
          <w:sz w:val="22"/>
          <w:szCs w:val="22"/>
        </w:rPr>
      </w:pPr>
    </w:p>
    <w:p w14:paraId="6959E63D"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p>
    <w:p w14:paraId="38E2AFBE" w14:textId="69AC2B79"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kern w:val="0"/>
          <w:sz w:val="22"/>
          <w:szCs w:val="22"/>
          <w:u w:val="single"/>
        </w:rPr>
        <w:t>Title:</w:t>
      </w:r>
      <w:r w:rsidRPr="00137CE7">
        <w:rPr>
          <w:rFonts w:ascii="Arial" w:hAnsi="Arial" w:cs="Arial"/>
          <w:b/>
          <w:bCs/>
          <w:i/>
          <w:iCs/>
          <w:kern w:val="0"/>
          <w:sz w:val="22"/>
          <w:szCs w:val="22"/>
        </w:rPr>
        <w:t xml:space="preserve"> </w:t>
      </w:r>
      <w:r w:rsidRPr="00137CE7">
        <w:rPr>
          <w:rFonts w:ascii="Arial" w:hAnsi="Arial" w:cs="Arial"/>
          <w:b/>
          <w:bCs/>
          <w:kern w:val="0"/>
          <w:sz w:val="22"/>
          <w:szCs w:val="22"/>
        </w:rPr>
        <w:t xml:space="preserve">BEST OF BOTH WORLDS: LIVE ATTENUATED </w:t>
      </w:r>
      <w:r w:rsidRPr="00137CE7">
        <w:rPr>
          <w:rFonts w:ascii="Arial" w:hAnsi="Arial" w:cs="Arial"/>
          <w:b/>
          <w:bCs/>
          <w:i/>
          <w:iCs/>
          <w:kern w:val="0"/>
          <w:sz w:val="22"/>
          <w:szCs w:val="22"/>
        </w:rPr>
        <w:t xml:space="preserve">EDWARDSIELLA ICTALURI </w:t>
      </w:r>
      <w:r w:rsidRPr="00137CE7">
        <w:rPr>
          <w:rFonts w:ascii="Arial" w:hAnsi="Arial" w:cs="Arial"/>
          <w:b/>
          <w:bCs/>
          <w:kern w:val="0"/>
          <w:sz w:val="22"/>
          <w:szCs w:val="22"/>
        </w:rPr>
        <w:t xml:space="preserve">VACCINES ACTIVATE HUMORAL AND CELLULAR IMMUNITY IN CHANNEL CATFISH </w:t>
      </w:r>
    </w:p>
    <w:p w14:paraId="6B7CCFFB"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Authors</w:t>
      </w:r>
      <w:r w:rsidRPr="00137CE7">
        <w:rPr>
          <w:rFonts w:ascii="Arial" w:hAnsi="Arial" w:cs="Arial"/>
          <w:b/>
          <w:bCs/>
          <w:kern w:val="0"/>
          <w:sz w:val="22"/>
          <w:szCs w:val="22"/>
        </w:rPr>
        <w:t>: Thornton A.</w:t>
      </w:r>
      <w:r w:rsidRPr="00137CE7">
        <w:rPr>
          <w:rFonts w:ascii="Arial" w:hAnsi="Arial" w:cs="Arial"/>
          <w:b/>
          <w:bCs/>
          <w:kern w:val="0"/>
          <w:sz w:val="22"/>
          <w:szCs w:val="22"/>
          <w:vertAlign w:val="superscript"/>
        </w:rPr>
        <w:t>1</w:t>
      </w:r>
      <w:r w:rsidRPr="00137CE7">
        <w:rPr>
          <w:rFonts w:ascii="Arial" w:hAnsi="Arial" w:cs="Arial"/>
          <w:kern w:val="0"/>
          <w:sz w:val="22"/>
          <w:szCs w:val="22"/>
        </w:rPr>
        <w:t>, Dawood, A.</w:t>
      </w:r>
      <w:r w:rsidRPr="00137CE7">
        <w:rPr>
          <w:rFonts w:ascii="Arial" w:hAnsi="Arial" w:cs="Arial"/>
          <w:kern w:val="0"/>
          <w:sz w:val="22"/>
          <w:szCs w:val="22"/>
          <w:vertAlign w:val="superscript"/>
        </w:rPr>
        <w:t>1</w:t>
      </w:r>
      <w:r w:rsidRPr="00137CE7">
        <w:rPr>
          <w:rFonts w:ascii="Arial" w:hAnsi="Arial" w:cs="Arial"/>
          <w:kern w:val="0"/>
          <w:sz w:val="22"/>
          <w:szCs w:val="22"/>
        </w:rPr>
        <w:t xml:space="preserve">, </w:t>
      </w:r>
      <w:proofErr w:type="spellStart"/>
      <w:r w:rsidRPr="00137CE7">
        <w:rPr>
          <w:rFonts w:ascii="Arial" w:hAnsi="Arial" w:cs="Arial"/>
          <w:kern w:val="0"/>
          <w:sz w:val="22"/>
          <w:szCs w:val="22"/>
        </w:rPr>
        <w:t>Riman</w:t>
      </w:r>
      <w:proofErr w:type="spellEnd"/>
      <w:r w:rsidRPr="00137CE7">
        <w:rPr>
          <w:rFonts w:ascii="Arial" w:hAnsi="Arial" w:cs="Arial"/>
          <w:kern w:val="0"/>
          <w:sz w:val="22"/>
          <w:szCs w:val="22"/>
        </w:rPr>
        <w:t>, M. M.</w:t>
      </w:r>
      <w:r w:rsidRPr="00137CE7">
        <w:rPr>
          <w:rFonts w:ascii="Arial" w:hAnsi="Arial" w:cs="Arial"/>
          <w:kern w:val="0"/>
          <w:sz w:val="22"/>
          <w:szCs w:val="22"/>
          <w:vertAlign w:val="superscript"/>
        </w:rPr>
        <w:t>1</w:t>
      </w:r>
      <w:r w:rsidRPr="00137CE7">
        <w:rPr>
          <w:rFonts w:ascii="Arial" w:hAnsi="Arial" w:cs="Arial"/>
          <w:kern w:val="0"/>
          <w:sz w:val="22"/>
          <w:szCs w:val="22"/>
        </w:rPr>
        <w:t>, Abdelhamed H.</w:t>
      </w:r>
      <w:r w:rsidRPr="00137CE7">
        <w:rPr>
          <w:rFonts w:ascii="Arial" w:hAnsi="Arial" w:cs="Arial"/>
          <w:kern w:val="0"/>
          <w:sz w:val="22"/>
          <w:szCs w:val="22"/>
          <w:vertAlign w:val="superscript"/>
        </w:rPr>
        <w:t>1</w:t>
      </w:r>
      <w:r w:rsidRPr="00137CE7">
        <w:rPr>
          <w:rFonts w:ascii="Arial" w:hAnsi="Arial" w:cs="Arial"/>
          <w:kern w:val="0"/>
          <w:sz w:val="22"/>
          <w:szCs w:val="22"/>
        </w:rPr>
        <w:t xml:space="preserve"> </w:t>
      </w:r>
    </w:p>
    <w:p w14:paraId="3F7FC473"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p>
    <w:p w14:paraId="2E43C6B9" w14:textId="26A14EA9"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kern w:val="0"/>
          <w:sz w:val="22"/>
          <w:szCs w:val="22"/>
          <w:vertAlign w:val="superscript"/>
        </w:rPr>
        <w:t>1</w:t>
      </w:r>
      <w:r w:rsidRPr="00137CE7">
        <w:rPr>
          <w:rFonts w:ascii="Arial" w:hAnsi="Arial" w:cs="Arial"/>
          <w:kern w:val="0"/>
          <w:sz w:val="22"/>
          <w:szCs w:val="22"/>
        </w:rPr>
        <w:t xml:space="preserve">Department of Comparative Biomedical Sciences, College of Veterinary Medicine, Mississippi State University, Starkville, MS </w:t>
      </w:r>
    </w:p>
    <w:p w14:paraId="792B6851"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p>
    <w:p w14:paraId="114DE5B6"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Background: </w:t>
      </w:r>
      <w:r w:rsidRPr="00137CE7">
        <w:rPr>
          <w:rFonts w:ascii="Arial" w:hAnsi="Arial" w:cs="Arial"/>
          <w:kern w:val="0"/>
          <w:sz w:val="22"/>
          <w:szCs w:val="22"/>
        </w:rPr>
        <w:t xml:space="preserve">Enteric septicemia of catfish (ESC) is a devastating disease caused by </w:t>
      </w:r>
      <w:proofErr w:type="spellStart"/>
      <w:r w:rsidRPr="00137CE7">
        <w:rPr>
          <w:rFonts w:ascii="Arial" w:hAnsi="Arial" w:cs="Arial"/>
          <w:i/>
          <w:iCs/>
          <w:kern w:val="0"/>
          <w:sz w:val="22"/>
          <w:szCs w:val="22"/>
        </w:rPr>
        <w:t>Edwardsiella</w:t>
      </w:r>
      <w:proofErr w:type="spellEnd"/>
      <w:r w:rsidRPr="00137CE7">
        <w:rPr>
          <w:rFonts w:ascii="Arial" w:hAnsi="Arial" w:cs="Arial"/>
          <w:i/>
          <w:iCs/>
          <w:kern w:val="0"/>
          <w:sz w:val="22"/>
          <w:szCs w:val="22"/>
        </w:rPr>
        <w:t xml:space="preserv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and remains a major challenge to control within the catfish industry. Immune mechanisms behind previously identified attenuated </w:t>
      </w:r>
      <w:r w:rsidRPr="00137CE7">
        <w:rPr>
          <w:rFonts w:ascii="Arial" w:hAnsi="Arial" w:cs="Arial"/>
          <w:i/>
          <w:iCs/>
          <w:kern w:val="0"/>
          <w:sz w:val="22"/>
          <w:szCs w:val="22"/>
        </w:rPr>
        <w:t xml:space="preserve">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strains remain unclear. </w:t>
      </w:r>
    </w:p>
    <w:p w14:paraId="74723B60"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Hypothesis: </w:t>
      </w:r>
      <w:r w:rsidRPr="00137CE7">
        <w:rPr>
          <w:rFonts w:ascii="Arial" w:hAnsi="Arial" w:cs="Arial"/>
          <w:kern w:val="0"/>
          <w:sz w:val="22"/>
          <w:szCs w:val="22"/>
        </w:rPr>
        <w:t xml:space="preserve">Live attenuated </w:t>
      </w:r>
      <w:r w:rsidRPr="00137CE7">
        <w:rPr>
          <w:rFonts w:ascii="Arial" w:hAnsi="Arial" w:cs="Arial"/>
          <w:i/>
          <w:iCs/>
          <w:kern w:val="0"/>
          <w:sz w:val="22"/>
          <w:szCs w:val="22"/>
        </w:rPr>
        <w:t xml:space="preserve">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mutants retain their ability to interact with host phagocytes and stimulate humoral immunity against ESC. </w:t>
      </w:r>
    </w:p>
    <w:p w14:paraId="5D5CBDEC"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Objectives: </w:t>
      </w:r>
      <w:r w:rsidRPr="00137CE7">
        <w:rPr>
          <w:rFonts w:ascii="Arial" w:hAnsi="Arial" w:cs="Arial"/>
          <w:kern w:val="0"/>
          <w:sz w:val="22"/>
          <w:szCs w:val="22"/>
        </w:rPr>
        <w:t xml:space="preserve">1) Evaluate bacterial adhesion and intracellular replication within channel catfish anterior kidney phagocytes. 2) Measure antibody concentration (IgM) in channel catfish serum exposed to </w:t>
      </w:r>
      <w:r w:rsidRPr="00137CE7">
        <w:rPr>
          <w:rFonts w:ascii="Arial" w:hAnsi="Arial" w:cs="Arial"/>
          <w:i/>
          <w:iCs/>
          <w:kern w:val="0"/>
          <w:sz w:val="22"/>
          <w:szCs w:val="22"/>
        </w:rPr>
        <w:t xml:space="preserve">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mutants and wild-type. </w:t>
      </w:r>
    </w:p>
    <w:p w14:paraId="49EEDDBA"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Methods: </w:t>
      </w:r>
      <w:r w:rsidRPr="00137CE7">
        <w:rPr>
          <w:rFonts w:ascii="Arial" w:hAnsi="Arial" w:cs="Arial"/>
          <w:kern w:val="0"/>
          <w:sz w:val="22"/>
          <w:szCs w:val="22"/>
        </w:rPr>
        <w:t xml:space="preserve">Bioluminescent mutants, labeled with pAKgfplux3 plasmid, enabled quantification of bacterial adhesion and intracellular replication by flow cytometry. Anterior kidney leukocytes were </w:t>
      </w:r>
      <w:r w:rsidRPr="00137CE7">
        <w:rPr>
          <w:rFonts w:ascii="Arial" w:hAnsi="Arial" w:cs="Arial"/>
          <w:kern w:val="0"/>
          <w:sz w:val="22"/>
          <w:szCs w:val="22"/>
        </w:rPr>
        <w:lastRenderedPageBreak/>
        <w:t xml:space="preserve">isolated from channel catfish fingerlings, cultured in channel catfish modified medium (CCMM), infected with GFP-labeled strains, and half were incubated in gentamicin-CCMM to eliminate extracellular bacteria before </w:t>
      </w:r>
      <w:proofErr w:type="gramStart"/>
      <w:r w:rsidRPr="00137CE7">
        <w:rPr>
          <w:rFonts w:ascii="Arial" w:hAnsi="Arial" w:cs="Arial"/>
          <w:kern w:val="0"/>
          <w:sz w:val="22"/>
          <w:szCs w:val="22"/>
        </w:rPr>
        <w:t>flow</w:t>
      </w:r>
      <w:proofErr w:type="gramEnd"/>
      <w:r w:rsidRPr="00137CE7">
        <w:rPr>
          <w:rFonts w:ascii="Arial" w:hAnsi="Arial" w:cs="Arial"/>
          <w:kern w:val="0"/>
          <w:sz w:val="22"/>
          <w:szCs w:val="22"/>
        </w:rPr>
        <w:t xml:space="preserve"> cytometric analysis. Serum from channel catfish fingerlings exposed to </w:t>
      </w:r>
      <w:proofErr w:type="spellStart"/>
      <w:r w:rsidRPr="00137CE7">
        <w:rPr>
          <w:rFonts w:ascii="Arial" w:hAnsi="Arial" w:cs="Arial"/>
          <w:kern w:val="0"/>
          <w:sz w:val="22"/>
          <w:szCs w:val="22"/>
        </w:rPr>
        <w:t>Δ</w:t>
      </w:r>
      <w:r w:rsidRPr="00137CE7">
        <w:rPr>
          <w:rFonts w:ascii="Arial" w:hAnsi="Arial" w:cs="Arial"/>
          <w:i/>
          <w:iCs/>
          <w:kern w:val="0"/>
          <w:sz w:val="22"/>
          <w:szCs w:val="22"/>
        </w:rPr>
        <w:t>csdB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immersion vaccine, with or without an oral booster, was analyzed by an indirect ELISA to quantify IgM. </w:t>
      </w:r>
    </w:p>
    <w:p w14:paraId="6BBCFDFC" w14:textId="77777777" w:rsidR="00137CE7" w:rsidRPr="00137CE7" w:rsidRDefault="00137CE7" w:rsidP="006A1E38">
      <w:pPr>
        <w:autoSpaceDE w:val="0"/>
        <w:autoSpaceDN w:val="0"/>
        <w:adjustRightInd w:val="0"/>
        <w:spacing w:after="0"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Results: </w:t>
      </w:r>
      <w:r w:rsidRPr="00137CE7">
        <w:rPr>
          <w:rFonts w:ascii="Arial" w:hAnsi="Arial" w:cs="Arial"/>
          <w:kern w:val="0"/>
          <w:sz w:val="22"/>
          <w:szCs w:val="22"/>
        </w:rPr>
        <w:t xml:space="preserve">Adhesion from </w:t>
      </w:r>
      <w:r w:rsidRPr="00137CE7">
        <w:rPr>
          <w:rFonts w:ascii="Arial" w:hAnsi="Arial" w:cs="Arial"/>
          <w:i/>
          <w:iCs/>
          <w:kern w:val="0"/>
          <w:sz w:val="22"/>
          <w:szCs w:val="22"/>
        </w:rPr>
        <w:t xml:space="preserve">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mutants differed significantly from wild-type. </w:t>
      </w:r>
      <w:proofErr w:type="spellStart"/>
      <w:r w:rsidRPr="00137CE7">
        <w:rPr>
          <w:rFonts w:ascii="Arial" w:hAnsi="Arial" w:cs="Arial"/>
          <w:kern w:val="0"/>
          <w:sz w:val="22"/>
          <w:szCs w:val="22"/>
        </w:rPr>
        <w:t>Δ</w:t>
      </w:r>
      <w:r w:rsidRPr="00137CE7">
        <w:rPr>
          <w:rFonts w:ascii="Arial" w:hAnsi="Arial" w:cs="Arial"/>
          <w:i/>
          <w:iCs/>
          <w:kern w:val="0"/>
          <w:sz w:val="22"/>
          <w:szCs w:val="22"/>
        </w:rPr>
        <w:t>csdB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exhibited significantly lower intracellular replication than wild-type; </w:t>
      </w:r>
      <w:proofErr w:type="spellStart"/>
      <w:r w:rsidRPr="00137CE7">
        <w:rPr>
          <w:rFonts w:ascii="Arial" w:hAnsi="Arial" w:cs="Arial"/>
          <w:kern w:val="0"/>
          <w:sz w:val="22"/>
          <w:szCs w:val="22"/>
        </w:rPr>
        <w:t>Δ</w:t>
      </w:r>
      <w:r w:rsidRPr="00137CE7">
        <w:rPr>
          <w:rFonts w:ascii="Arial" w:hAnsi="Arial" w:cs="Arial"/>
          <w:i/>
          <w:iCs/>
          <w:kern w:val="0"/>
          <w:sz w:val="22"/>
          <w:szCs w:val="22"/>
        </w:rPr>
        <w:t>ssrB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saw significantly more</w:t>
      </w:r>
      <w:r w:rsidRPr="00137CE7">
        <w:rPr>
          <w:rFonts w:ascii="Arial" w:hAnsi="Arial" w:cs="Arial"/>
          <w:i/>
          <w:iCs/>
          <w:kern w:val="0"/>
          <w:sz w:val="22"/>
          <w:szCs w:val="22"/>
        </w:rPr>
        <w:t xml:space="preserve">. </w:t>
      </w:r>
      <w:r w:rsidRPr="00137CE7">
        <w:rPr>
          <w:rFonts w:ascii="Arial" w:hAnsi="Arial" w:cs="Arial"/>
          <w:kern w:val="0"/>
          <w:sz w:val="22"/>
          <w:szCs w:val="22"/>
        </w:rPr>
        <w:t xml:space="preserve">Both vaccinations with the </w:t>
      </w:r>
      <w:proofErr w:type="spellStart"/>
      <w:r w:rsidRPr="00137CE7">
        <w:rPr>
          <w:rFonts w:ascii="Arial" w:hAnsi="Arial" w:cs="Arial"/>
          <w:kern w:val="0"/>
          <w:sz w:val="22"/>
          <w:szCs w:val="22"/>
        </w:rPr>
        <w:t>Δ</w:t>
      </w:r>
      <w:r w:rsidRPr="00137CE7">
        <w:rPr>
          <w:rFonts w:ascii="Arial" w:hAnsi="Arial" w:cs="Arial"/>
          <w:i/>
          <w:iCs/>
          <w:kern w:val="0"/>
          <w:sz w:val="22"/>
          <w:szCs w:val="22"/>
        </w:rPr>
        <w:t>csdB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strain increased survival following wild-type challenge and elicited higher serum IgM responses. </w:t>
      </w:r>
    </w:p>
    <w:p w14:paraId="0D2DEBC0" w14:textId="4C68AF72" w:rsidR="00137CE7" w:rsidRPr="00137CE7" w:rsidRDefault="00137CE7" w:rsidP="006A1E38">
      <w:pPr>
        <w:tabs>
          <w:tab w:val="left" w:pos="1111"/>
        </w:tabs>
        <w:spacing w:line="240" w:lineRule="auto"/>
        <w:contextualSpacing/>
        <w:jc w:val="both"/>
        <w:rPr>
          <w:rFonts w:ascii="Arial" w:hAnsi="Arial" w:cs="Arial"/>
          <w:kern w:val="0"/>
          <w:sz w:val="22"/>
          <w:szCs w:val="22"/>
        </w:rPr>
      </w:pPr>
      <w:r w:rsidRPr="00137CE7">
        <w:rPr>
          <w:rFonts w:ascii="Arial" w:hAnsi="Arial" w:cs="Arial"/>
          <w:b/>
          <w:bCs/>
          <w:i/>
          <w:iCs/>
          <w:kern w:val="0"/>
          <w:sz w:val="22"/>
          <w:szCs w:val="22"/>
        </w:rPr>
        <w:t xml:space="preserve">Conclusion: </w:t>
      </w:r>
      <w:r w:rsidRPr="00137CE7">
        <w:rPr>
          <w:rFonts w:ascii="Arial" w:hAnsi="Arial" w:cs="Arial"/>
          <w:i/>
          <w:iCs/>
          <w:kern w:val="0"/>
          <w:sz w:val="22"/>
          <w:szCs w:val="22"/>
        </w:rPr>
        <w:t xml:space="preserve">E. </w:t>
      </w:r>
      <w:proofErr w:type="spellStart"/>
      <w:r w:rsidRPr="00137CE7">
        <w:rPr>
          <w:rFonts w:ascii="Arial" w:hAnsi="Arial" w:cs="Arial"/>
          <w:i/>
          <w:iCs/>
          <w:kern w:val="0"/>
          <w:sz w:val="22"/>
          <w:szCs w:val="22"/>
        </w:rPr>
        <w:t>ictaluri</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mutants do not impair phagocytosis, though </w:t>
      </w:r>
      <w:proofErr w:type="spellStart"/>
      <w:r w:rsidRPr="00137CE7">
        <w:rPr>
          <w:rFonts w:ascii="Arial" w:hAnsi="Arial" w:cs="Arial"/>
          <w:kern w:val="0"/>
          <w:sz w:val="22"/>
          <w:szCs w:val="22"/>
        </w:rPr>
        <w:t>Δ</w:t>
      </w:r>
      <w:r w:rsidRPr="00137CE7">
        <w:rPr>
          <w:rFonts w:ascii="Arial" w:hAnsi="Arial" w:cs="Arial"/>
          <w:i/>
          <w:iCs/>
          <w:kern w:val="0"/>
          <w:sz w:val="22"/>
          <w:szCs w:val="22"/>
        </w:rPr>
        <w:t>csdB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 xml:space="preserve">showed reduced phagocytosis, implying decreased virulence. The </w:t>
      </w:r>
      <w:proofErr w:type="spellStart"/>
      <w:r w:rsidRPr="00137CE7">
        <w:rPr>
          <w:rFonts w:ascii="Arial" w:hAnsi="Arial" w:cs="Arial"/>
          <w:kern w:val="0"/>
          <w:sz w:val="22"/>
          <w:szCs w:val="22"/>
        </w:rPr>
        <w:t>Δ</w:t>
      </w:r>
      <w:r w:rsidRPr="00137CE7">
        <w:rPr>
          <w:rFonts w:ascii="Arial" w:hAnsi="Arial" w:cs="Arial"/>
          <w:i/>
          <w:iCs/>
          <w:kern w:val="0"/>
          <w:sz w:val="22"/>
          <w:szCs w:val="22"/>
        </w:rPr>
        <w:t>csdB</w:t>
      </w:r>
      <w:proofErr w:type="spellEnd"/>
      <w:r w:rsidRPr="00137CE7">
        <w:rPr>
          <w:rFonts w:ascii="Arial" w:hAnsi="Arial" w:cs="Arial"/>
          <w:i/>
          <w:iCs/>
          <w:kern w:val="0"/>
          <w:sz w:val="22"/>
          <w:szCs w:val="22"/>
        </w:rPr>
        <w:t xml:space="preserve"> </w:t>
      </w:r>
      <w:r w:rsidRPr="00137CE7">
        <w:rPr>
          <w:rFonts w:ascii="Arial" w:hAnsi="Arial" w:cs="Arial"/>
          <w:kern w:val="0"/>
          <w:sz w:val="22"/>
          <w:szCs w:val="22"/>
        </w:rPr>
        <w:t>vaccine induced an early and sustained IgM response, demonstrating protective humoral responses in catfish. Future studies will evaluate immune gene expression, phagocytosis over time, and vaccine persistence and clearance.</w:t>
      </w:r>
    </w:p>
    <w:p w14:paraId="582F18D1" w14:textId="77777777" w:rsidR="00137CE7" w:rsidRPr="00137CE7" w:rsidRDefault="00137CE7" w:rsidP="006A1E38">
      <w:pPr>
        <w:tabs>
          <w:tab w:val="left" w:pos="1111"/>
        </w:tabs>
        <w:spacing w:line="240" w:lineRule="auto"/>
        <w:contextualSpacing/>
        <w:jc w:val="both"/>
        <w:rPr>
          <w:rFonts w:ascii="Arial" w:hAnsi="Arial" w:cs="Arial"/>
          <w:kern w:val="0"/>
          <w:sz w:val="22"/>
          <w:szCs w:val="22"/>
        </w:rPr>
      </w:pPr>
    </w:p>
    <w:p w14:paraId="75FB5D53" w14:textId="4C085AD4" w:rsidR="00137CE7" w:rsidRPr="00137CE7" w:rsidRDefault="00137CE7" w:rsidP="006A1E38">
      <w:pPr>
        <w:tabs>
          <w:tab w:val="left" w:pos="1111"/>
        </w:tabs>
        <w:spacing w:line="240" w:lineRule="auto"/>
        <w:contextualSpacing/>
        <w:jc w:val="both"/>
        <w:rPr>
          <w:rFonts w:ascii="Arial" w:hAnsi="Arial" w:cs="Arial"/>
          <w:sz w:val="22"/>
          <w:szCs w:val="22"/>
        </w:rPr>
      </w:pPr>
      <w:r w:rsidRPr="00137CE7">
        <w:rPr>
          <w:rFonts w:ascii="Arial" w:hAnsi="Arial" w:cs="Arial"/>
          <w:b/>
          <w:bCs/>
          <w:kern w:val="0"/>
          <w:sz w:val="22"/>
          <w:szCs w:val="22"/>
        </w:rPr>
        <w:t>Funding:</w:t>
      </w:r>
      <w:r w:rsidRPr="00137CE7">
        <w:rPr>
          <w:rFonts w:ascii="Arial" w:hAnsi="Arial" w:cs="Arial"/>
          <w:kern w:val="0"/>
          <w:sz w:val="22"/>
          <w:szCs w:val="22"/>
        </w:rPr>
        <w:t xml:space="preserve"> National Institutes of Health T35OD010432</w:t>
      </w:r>
      <w:r w:rsidR="00B404C6">
        <w:rPr>
          <w:rFonts w:ascii="Arial" w:hAnsi="Arial" w:cs="Arial"/>
          <w:kern w:val="0"/>
          <w:sz w:val="22"/>
          <w:szCs w:val="22"/>
        </w:rPr>
        <w:t xml:space="preserve"> </w:t>
      </w:r>
      <w:r w:rsidR="00B404C6">
        <w:rPr>
          <w:rFonts w:ascii="Arial" w:hAnsi="Arial" w:cs="Arial"/>
          <w:color w:val="000000"/>
          <w:kern w:val="0"/>
          <w:sz w:val="22"/>
          <w:szCs w:val="22"/>
        </w:rPr>
        <w:t xml:space="preserve">and </w:t>
      </w:r>
      <w:r w:rsidR="00B404C6" w:rsidRPr="00137CE7">
        <w:rPr>
          <w:rFonts w:ascii="Arial" w:hAnsi="Arial" w:cs="Arial"/>
          <w:color w:val="000000"/>
          <w:kern w:val="0"/>
          <w:sz w:val="22"/>
          <w:szCs w:val="22"/>
        </w:rPr>
        <w:t>MSU CVM Office of Research and Graduate Studies</w:t>
      </w:r>
    </w:p>
    <w:sectPr w:rsidR="00137CE7" w:rsidRPr="00137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altName w:val="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DC8BA2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205190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98"/>
    <w:rsid w:val="00003F39"/>
    <w:rsid w:val="000046C7"/>
    <w:rsid w:val="00012687"/>
    <w:rsid w:val="00013C99"/>
    <w:rsid w:val="00015549"/>
    <w:rsid w:val="000160B8"/>
    <w:rsid w:val="00016885"/>
    <w:rsid w:val="00016A2B"/>
    <w:rsid w:val="00023AB7"/>
    <w:rsid w:val="00023FCD"/>
    <w:rsid w:val="000249C0"/>
    <w:rsid w:val="00026FD5"/>
    <w:rsid w:val="0003028E"/>
    <w:rsid w:val="00034D8F"/>
    <w:rsid w:val="00036DB7"/>
    <w:rsid w:val="00045C8A"/>
    <w:rsid w:val="000510E1"/>
    <w:rsid w:val="000604D0"/>
    <w:rsid w:val="00060886"/>
    <w:rsid w:val="00060A32"/>
    <w:rsid w:val="00061209"/>
    <w:rsid w:val="00061295"/>
    <w:rsid w:val="000616D6"/>
    <w:rsid w:val="00062C94"/>
    <w:rsid w:val="00063C29"/>
    <w:rsid w:val="00064859"/>
    <w:rsid w:val="00066993"/>
    <w:rsid w:val="00071874"/>
    <w:rsid w:val="00072354"/>
    <w:rsid w:val="0007266B"/>
    <w:rsid w:val="00072B89"/>
    <w:rsid w:val="00072DB3"/>
    <w:rsid w:val="00073E85"/>
    <w:rsid w:val="0007543F"/>
    <w:rsid w:val="00075BB4"/>
    <w:rsid w:val="00076880"/>
    <w:rsid w:val="000777C5"/>
    <w:rsid w:val="00080AA1"/>
    <w:rsid w:val="000818A3"/>
    <w:rsid w:val="000831DD"/>
    <w:rsid w:val="00083E4D"/>
    <w:rsid w:val="00091629"/>
    <w:rsid w:val="00092709"/>
    <w:rsid w:val="00094684"/>
    <w:rsid w:val="00094F06"/>
    <w:rsid w:val="00094FCC"/>
    <w:rsid w:val="00096381"/>
    <w:rsid w:val="000A3852"/>
    <w:rsid w:val="000A4471"/>
    <w:rsid w:val="000A53F2"/>
    <w:rsid w:val="000A600E"/>
    <w:rsid w:val="000B09CE"/>
    <w:rsid w:val="000B184A"/>
    <w:rsid w:val="000B200B"/>
    <w:rsid w:val="000B209A"/>
    <w:rsid w:val="000B5C8E"/>
    <w:rsid w:val="000B5D0A"/>
    <w:rsid w:val="000B6D69"/>
    <w:rsid w:val="000B6DE0"/>
    <w:rsid w:val="000B79A2"/>
    <w:rsid w:val="000C0E70"/>
    <w:rsid w:val="000C2BF1"/>
    <w:rsid w:val="000C3040"/>
    <w:rsid w:val="000C58D4"/>
    <w:rsid w:val="000C6765"/>
    <w:rsid w:val="000C745A"/>
    <w:rsid w:val="000D06B8"/>
    <w:rsid w:val="000D0AD4"/>
    <w:rsid w:val="000D11F3"/>
    <w:rsid w:val="000D187B"/>
    <w:rsid w:val="000D19C0"/>
    <w:rsid w:val="000D1C00"/>
    <w:rsid w:val="000D4379"/>
    <w:rsid w:val="000D5A08"/>
    <w:rsid w:val="000D62C0"/>
    <w:rsid w:val="000D67A7"/>
    <w:rsid w:val="000D796E"/>
    <w:rsid w:val="000E29DA"/>
    <w:rsid w:val="000E3244"/>
    <w:rsid w:val="000E6019"/>
    <w:rsid w:val="000E74B2"/>
    <w:rsid w:val="000F0B93"/>
    <w:rsid w:val="000F14E1"/>
    <w:rsid w:val="000F196E"/>
    <w:rsid w:val="000F251E"/>
    <w:rsid w:val="000F3D18"/>
    <w:rsid w:val="000F3D37"/>
    <w:rsid w:val="000F5AFB"/>
    <w:rsid w:val="000F5B9F"/>
    <w:rsid w:val="000F6697"/>
    <w:rsid w:val="000F78C1"/>
    <w:rsid w:val="000F78D4"/>
    <w:rsid w:val="00101A28"/>
    <w:rsid w:val="001032C9"/>
    <w:rsid w:val="00103A29"/>
    <w:rsid w:val="0010469B"/>
    <w:rsid w:val="00104BE3"/>
    <w:rsid w:val="0010602B"/>
    <w:rsid w:val="00106239"/>
    <w:rsid w:val="00107B9A"/>
    <w:rsid w:val="00111A76"/>
    <w:rsid w:val="001121EB"/>
    <w:rsid w:val="0011278B"/>
    <w:rsid w:val="0011288E"/>
    <w:rsid w:val="00112EEA"/>
    <w:rsid w:val="00115A34"/>
    <w:rsid w:val="001204FD"/>
    <w:rsid w:val="0012056B"/>
    <w:rsid w:val="001209CB"/>
    <w:rsid w:val="00120ABA"/>
    <w:rsid w:val="00121A20"/>
    <w:rsid w:val="00122092"/>
    <w:rsid w:val="00122509"/>
    <w:rsid w:val="00123087"/>
    <w:rsid w:val="00123BE2"/>
    <w:rsid w:val="00124C83"/>
    <w:rsid w:val="00130B1D"/>
    <w:rsid w:val="00131B53"/>
    <w:rsid w:val="00133298"/>
    <w:rsid w:val="00134C23"/>
    <w:rsid w:val="001359BA"/>
    <w:rsid w:val="00135EA3"/>
    <w:rsid w:val="00136698"/>
    <w:rsid w:val="00136B33"/>
    <w:rsid w:val="001378B5"/>
    <w:rsid w:val="00137CE7"/>
    <w:rsid w:val="00137D3A"/>
    <w:rsid w:val="00140694"/>
    <w:rsid w:val="00146595"/>
    <w:rsid w:val="001518E9"/>
    <w:rsid w:val="001528D0"/>
    <w:rsid w:val="0015398A"/>
    <w:rsid w:val="001542D5"/>
    <w:rsid w:val="0015473D"/>
    <w:rsid w:val="00156F3E"/>
    <w:rsid w:val="00157A9F"/>
    <w:rsid w:val="00157F6F"/>
    <w:rsid w:val="001638D8"/>
    <w:rsid w:val="001647DF"/>
    <w:rsid w:val="0016726B"/>
    <w:rsid w:val="001679FA"/>
    <w:rsid w:val="00170CE6"/>
    <w:rsid w:val="00172759"/>
    <w:rsid w:val="00172800"/>
    <w:rsid w:val="00172A40"/>
    <w:rsid w:val="00172DE1"/>
    <w:rsid w:val="00173176"/>
    <w:rsid w:val="00173B0C"/>
    <w:rsid w:val="00173D9E"/>
    <w:rsid w:val="001757FD"/>
    <w:rsid w:val="00176837"/>
    <w:rsid w:val="0018039A"/>
    <w:rsid w:val="001846F2"/>
    <w:rsid w:val="00186F71"/>
    <w:rsid w:val="001900A1"/>
    <w:rsid w:val="00190668"/>
    <w:rsid w:val="00195B14"/>
    <w:rsid w:val="00195D30"/>
    <w:rsid w:val="00196850"/>
    <w:rsid w:val="001A6066"/>
    <w:rsid w:val="001B3C63"/>
    <w:rsid w:val="001B4EE3"/>
    <w:rsid w:val="001B7BA7"/>
    <w:rsid w:val="001C0A4A"/>
    <w:rsid w:val="001C1C87"/>
    <w:rsid w:val="001C2DE4"/>
    <w:rsid w:val="001C33F6"/>
    <w:rsid w:val="001C43F4"/>
    <w:rsid w:val="001C5D63"/>
    <w:rsid w:val="001C743A"/>
    <w:rsid w:val="001D07FF"/>
    <w:rsid w:val="001D113C"/>
    <w:rsid w:val="001D133A"/>
    <w:rsid w:val="001D1AD6"/>
    <w:rsid w:val="001D1C56"/>
    <w:rsid w:val="001D26BB"/>
    <w:rsid w:val="001D3222"/>
    <w:rsid w:val="001D3E9F"/>
    <w:rsid w:val="001D423E"/>
    <w:rsid w:val="001D5C98"/>
    <w:rsid w:val="001D67B5"/>
    <w:rsid w:val="001D7C8C"/>
    <w:rsid w:val="001D7E8A"/>
    <w:rsid w:val="001E17E9"/>
    <w:rsid w:val="001E379A"/>
    <w:rsid w:val="001E4164"/>
    <w:rsid w:val="001F030E"/>
    <w:rsid w:val="001F0F99"/>
    <w:rsid w:val="001F13F4"/>
    <w:rsid w:val="001F504F"/>
    <w:rsid w:val="001F5E3D"/>
    <w:rsid w:val="001F61FC"/>
    <w:rsid w:val="001F63D9"/>
    <w:rsid w:val="001F6603"/>
    <w:rsid w:val="001F697B"/>
    <w:rsid w:val="001F6E74"/>
    <w:rsid w:val="00201288"/>
    <w:rsid w:val="0020309F"/>
    <w:rsid w:val="00203AC2"/>
    <w:rsid w:val="00204328"/>
    <w:rsid w:val="00204DAC"/>
    <w:rsid w:val="00205C96"/>
    <w:rsid w:val="00205D7E"/>
    <w:rsid w:val="00205FE2"/>
    <w:rsid w:val="00212649"/>
    <w:rsid w:val="0021540B"/>
    <w:rsid w:val="002222E1"/>
    <w:rsid w:val="0022271A"/>
    <w:rsid w:val="00222F38"/>
    <w:rsid w:val="00225A5A"/>
    <w:rsid w:val="0022656A"/>
    <w:rsid w:val="00230914"/>
    <w:rsid w:val="0023190C"/>
    <w:rsid w:val="00234AFB"/>
    <w:rsid w:val="00234CBC"/>
    <w:rsid w:val="00234DD6"/>
    <w:rsid w:val="00234F63"/>
    <w:rsid w:val="00236C3F"/>
    <w:rsid w:val="002421EF"/>
    <w:rsid w:val="0024466B"/>
    <w:rsid w:val="00245D52"/>
    <w:rsid w:val="002503EB"/>
    <w:rsid w:val="00251593"/>
    <w:rsid w:val="00251C83"/>
    <w:rsid w:val="002530FF"/>
    <w:rsid w:val="00253AD8"/>
    <w:rsid w:val="002550F4"/>
    <w:rsid w:val="00255107"/>
    <w:rsid w:val="00255DDB"/>
    <w:rsid w:val="0026120A"/>
    <w:rsid w:val="00261BBA"/>
    <w:rsid w:val="002659B7"/>
    <w:rsid w:val="00266045"/>
    <w:rsid w:val="00267197"/>
    <w:rsid w:val="002673FD"/>
    <w:rsid w:val="00270BF3"/>
    <w:rsid w:val="00271F50"/>
    <w:rsid w:val="002724C0"/>
    <w:rsid w:val="00273CC5"/>
    <w:rsid w:val="00275646"/>
    <w:rsid w:val="00275CED"/>
    <w:rsid w:val="00277068"/>
    <w:rsid w:val="00277557"/>
    <w:rsid w:val="00280A78"/>
    <w:rsid w:val="00281234"/>
    <w:rsid w:val="00282521"/>
    <w:rsid w:val="00283D36"/>
    <w:rsid w:val="00283E5F"/>
    <w:rsid w:val="00285D67"/>
    <w:rsid w:val="002966F5"/>
    <w:rsid w:val="00296D45"/>
    <w:rsid w:val="00296D6B"/>
    <w:rsid w:val="002A0747"/>
    <w:rsid w:val="002A27FD"/>
    <w:rsid w:val="002A51AA"/>
    <w:rsid w:val="002A576F"/>
    <w:rsid w:val="002A5803"/>
    <w:rsid w:val="002A5F23"/>
    <w:rsid w:val="002B106B"/>
    <w:rsid w:val="002B30D6"/>
    <w:rsid w:val="002B3F63"/>
    <w:rsid w:val="002B474F"/>
    <w:rsid w:val="002B5537"/>
    <w:rsid w:val="002B71B7"/>
    <w:rsid w:val="002B7CA7"/>
    <w:rsid w:val="002C11B3"/>
    <w:rsid w:val="002C2E41"/>
    <w:rsid w:val="002C6D3F"/>
    <w:rsid w:val="002D0891"/>
    <w:rsid w:val="002D1119"/>
    <w:rsid w:val="002D712D"/>
    <w:rsid w:val="002E10CB"/>
    <w:rsid w:val="002E13CB"/>
    <w:rsid w:val="002E273A"/>
    <w:rsid w:val="002E304E"/>
    <w:rsid w:val="002E3963"/>
    <w:rsid w:val="002E3F1C"/>
    <w:rsid w:val="002E57FA"/>
    <w:rsid w:val="002E5EC9"/>
    <w:rsid w:val="002E768A"/>
    <w:rsid w:val="002F2A9E"/>
    <w:rsid w:val="002F6B62"/>
    <w:rsid w:val="002F7615"/>
    <w:rsid w:val="002F78AA"/>
    <w:rsid w:val="002F7F94"/>
    <w:rsid w:val="00301CAB"/>
    <w:rsid w:val="00304AE0"/>
    <w:rsid w:val="00305213"/>
    <w:rsid w:val="00306B4E"/>
    <w:rsid w:val="00310452"/>
    <w:rsid w:val="00310C1D"/>
    <w:rsid w:val="0031146C"/>
    <w:rsid w:val="00314085"/>
    <w:rsid w:val="00314DAC"/>
    <w:rsid w:val="00316104"/>
    <w:rsid w:val="00316A7A"/>
    <w:rsid w:val="003202C6"/>
    <w:rsid w:val="0032055D"/>
    <w:rsid w:val="00320B8D"/>
    <w:rsid w:val="00322788"/>
    <w:rsid w:val="0032361B"/>
    <w:rsid w:val="00323E6B"/>
    <w:rsid w:val="0032472D"/>
    <w:rsid w:val="00325866"/>
    <w:rsid w:val="0032723B"/>
    <w:rsid w:val="003312DB"/>
    <w:rsid w:val="0033140E"/>
    <w:rsid w:val="00332421"/>
    <w:rsid w:val="0033260C"/>
    <w:rsid w:val="003329C5"/>
    <w:rsid w:val="00333EFF"/>
    <w:rsid w:val="00334D4A"/>
    <w:rsid w:val="00340964"/>
    <w:rsid w:val="003427B7"/>
    <w:rsid w:val="003437E2"/>
    <w:rsid w:val="003437F3"/>
    <w:rsid w:val="00344227"/>
    <w:rsid w:val="00345083"/>
    <w:rsid w:val="00350B83"/>
    <w:rsid w:val="00351632"/>
    <w:rsid w:val="00351A01"/>
    <w:rsid w:val="00351A36"/>
    <w:rsid w:val="00352D68"/>
    <w:rsid w:val="00352FB7"/>
    <w:rsid w:val="00352FCF"/>
    <w:rsid w:val="00353291"/>
    <w:rsid w:val="003545A9"/>
    <w:rsid w:val="00354BFE"/>
    <w:rsid w:val="00355F45"/>
    <w:rsid w:val="0036314C"/>
    <w:rsid w:val="0036458C"/>
    <w:rsid w:val="00365386"/>
    <w:rsid w:val="00365719"/>
    <w:rsid w:val="00366F1B"/>
    <w:rsid w:val="003702A9"/>
    <w:rsid w:val="00371B0A"/>
    <w:rsid w:val="00372245"/>
    <w:rsid w:val="0038336A"/>
    <w:rsid w:val="003869BB"/>
    <w:rsid w:val="00392162"/>
    <w:rsid w:val="00392F3C"/>
    <w:rsid w:val="00397D53"/>
    <w:rsid w:val="003A03CC"/>
    <w:rsid w:val="003A1207"/>
    <w:rsid w:val="003A1F8A"/>
    <w:rsid w:val="003A4C9F"/>
    <w:rsid w:val="003A5454"/>
    <w:rsid w:val="003A67A0"/>
    <w:rsid w:val="003A7E15"/>
    <w:rsid w:val="003B0BE0"/>
    <w:rsid w:val="003B154F"/>
    <w:rsid w:val="003B248F"/>
    <w:rsid w:val="003B334D"/>
    <w:rsid w:val="003B3474"/>
    <w:rsid w:val="003B4EF3"/>
    <w:rsid w:val="003B6715"/>
    <w:rsid w:val="003B6726"/>
    <w:rsid w:val="003C0B91"/>
    <w:rsid w:val="003C13A2"/>
    <w:rsid w:val="003C1F25"/>
    <w:rsid w:val="003C2B10"/>
    <w:rsid w:val="003C4F93"/>
    <w:rsid w:val="003C52CF"/>
    <w:rsid w:val="003C5B9E"/>
    <w:rsid w:val="003C5D2E"/>
    <w:rsid w:val="003C62D0"/>
    <w:rsid w:val="003C75CE"/>
    <w:rsid w:val="003D025A"/>
    <w:rsid w:val="003D1298"/>
    <w:rsid w:val="003D21FC"/>
    <w:rsid w:val="003D2233"/>
    <w:rsid w:val="003D263C"/>
    <w:rsid w:val="003D44CF"/>
    <w:rsid w:val="003D50E9"/>
    <w:rsid w:val="003D6E97"/>
    <w:rsid w:val="003E0835"/>
    <w:rsid w:val="003E09DE"/>
    <w:rsid w:val="003E2D72"/>
    <w:rsid w:val="003E60C8"/>
    <w:rsid w:val="003F003A"/>
    <w:rsid w:val="003F124D"/>
    <w:rsid w:val="003F13F3"/>
    <w:rsid w:val="003F1611"/>
    <w:rsid w:val="003F20F3"/>
    <w:rsid w:val="003F3A53"/>
    <w:rsid w:val="003F4D3D"/>
    <w:rsid w:val="003F5707"/>
    <w:rsid w:val="00401161"/>
    <w:rsid w:val="004021E4"/>
    <w:rsid w:val="004030C8"/>
    <w:rsid w:val="004040F3"/>
    <w:rsid w:val="0040439D"/>
    <w:rsid w:val="004047C7"/>
    <w:rsid w:val="0041200D"/>
    <w:rsid w:val="004136BA"/>
    <w:rsid w:val="004150A3"/>
    <w:rsid w:val="00417DA7"/>
    <w:rsid w:val="00417F66"/>
    <w:rsid w:val="00420042"/>
    <w:rsid w:val="00420437"/>
    <w:rsid w:val="0042130C"/>
    <w:rsid w:val="004225CF"/>
    <w:rsid w:val="00423804"/>
    <w:rsid w:val="00424A24"/>
    <w:rsid w:val="004259DC"/>
    <w:rsid w:val="004263BE"/>
    <w:rsid w:val="00427A47"/>
    <w:rsid w:val="00431879"/>
    <w:rsid w:val="00434058"/>
    <w:rsid w:val="00434409"/>
    <w:rsid w:val="0043456A"/>
    <w:rsid w:val="004350D9"/>
    <w:rsid w:val="00435D4C"/>
    <w:rsid w:val="0043613B"/>
    <w:rsid w:val="00440D5C"/>
    <w:rsid w:val="0044306E"/>
    <w:rsid w:val="004459DA"/>
    <w:rsid w:val="004470FE"/>
    <w:rsid w:val="004476CB"/>
    <w:rsid w:val="00447FBB"/>
    <w:rsid w:val="00450025"/>
    <w:rsid w:val="00450159"/>
    <w:rsid w:val="00450AED"/>
    <w:rsid w:val="00450E6A"/>
    <w:rsid w:val="00452077"/>
    <w:rsid w:val="004526BD"/>
    <w:rsid w:val="00453AC1"/>
    <w:rsid w:val="00454A05"/>
    <w:rsid w:val="0045575A"/>
    <w:rsid w:val="004575CE"/>
    <w:rsid w:val="004577A3"/>
    <w:rsid w:val="00457C4C"/>
    <w:rsid w:val="00461084"/>
    <w:rsid w:val="00464E67"/>
    <w:rsid w:val="004703B6"/>
    <w:rsid w:val="0047157B"/>
    <w:rsid w:val="0047258B"/>
    <w:rsid w:val="00472CB5"/>
    <w:rsid w:val="00472FE2"/>
    <w:rsid w:val="00474FA9"/>
    <w:rsid w:val="00481D33"/>
    <w:rsid w:val="00481EB0"/>
    <w:rsid w:val="00483526"/>
    <w:rsid w:val="0048409F"/>
    <w:rsid w:val="004862D1"/>
    <w:rsid w:val="00486616"/>
    <w:rsid w:val="00487AA7"/>
    <w:rsid w:val="00490112"/>
    <w:rsid w:val="00490936"/>
    <w:rsid w:val="004959A3"/>
    <w:rsid w:val="004A1AD4"/>
    <w:rsid w:val="004A3D69"/>
    <w:rsid w:val="004A4148"/>
    <w:rsid w:val="004A425F"/>
    <w:rsid w:val="004A524A"/>
    <w:rsid w:val="004A5A04"/>
    <w:rsid w:val="004A7FF1"/>
    <w:rsid w:val="004B1F07"/>
    <w:rsid w:val="004B2798"/>
    <w:rsid w:val="004B5122"/>
    <w:rsid w:val="004C084D"/>
    <w:rsid w:val="004C2A00"/>
    <w:rsid w:val="004C428F"/>
    <w:rsid w:val="004C43A0"/>
    <w:rsid w:val="004C4D5C"/>
    <w:rsid w:val="004C5EA5"/>
    <w:rsid w:val="004C769B"/>
    <w:rsid w:val="004D100A"/>
    <w:rsid w:val="004D1856"/>
    <w:rsid w:val="004D1A84"/>
    <w:rsid w:val="004D20AE"/>
    <w:rsid w:val="004D21BD"/>
    <w:rsid w:val="004D2537"/>
    <w:rsid w:val="004D38BD"/>
    <w:rsid w:val="004D57FA"/>
    <w:rsid w:val="004D67E6"/>
    <w:rsid w:val="004D6973"/>
    <w:rsid w:val="004E0DC1"/>
    <w:rsid w:val="004E2541"/>
    <w:rsid w:val="004E274A"/>
    <w:rsid w:val="004E28A8"/>
    <w:rsid w:val="004E2D49"/>
    <w:rsid w:val="004E2DCF"/>
    <w:rsid w:val="004E2F18"/>
    <w:rsid w:val="004E4833"/>
    <w:rsid w:val="004E4DAE"/>
    <w:rsid w:val="004E558B"/>
    <w:rsid w:val="004F180F"/>
    <w:rsid w:val="004F3BC8"/>
    <w:rsid w:val="004F4AD9"/>
    <w:rsid w:val="004F5751"/>
    <w:rsid w:val="004F5992"/>
    <w:rsid w:val="004F65EA"/>
    <w:rsid w:val="00500091"/>
    <w:rsid w:val="00500C84"/>
    <w:rsid w:val="005020B6"/>
    <w:rsid w:val="00502FED"/>
    <w:rsid w:val="0050499F"/>
    <w:rsid w:val="00506635"/>
    <w:rsid w:val="00506F51"/>
    <w:rsid w:val="00510E05"/>
    <w:rsid w:val="00511F78"/>
    <w:rsid w:val="00517FE6"/>
    <w:rsid w:val="00520385"/>
    <w:rsid w:val="005223D9"/>
    <w:rsid w:val="00523255"/>
    <w:rsid w:val="00523A87"/>
    <w:rsid w:val="005253F1"/>
    <w:rsid w:val="00525E5B"/>
    <w:rsid w:val="0052625F"/>
    <w:rsid w:val="0053230E"/>
    <w:rsid w:val="00532897"/>
    <w:rsid w:val="0053381F"/>
    <w:rsid w:val="00534434"/>
    <w:rsid w:val="00537689"/>
    <w:rsid w:val="00537708"/>
    <w:rsid w:val="00540C99"/>
    <w:rsid w:val="00542A0C"/>
    <w:rsid w:val="00542CC5"/>
    <w:rsid w:val="0054429D"/>
    <w:rsid w:val="00544711"/>
    <w:rsid w:val="005457D9"/>
    <w:rsid w:val="005464C0"/>
    <w:rsid w:val="00547E49"/>
    <w:rsid w:val="00547F5E"/>
    <w:rsid w:val="00550958"/>
    <w:rsid w:val="00550BE3"/>
    <w:rsid w:val="00553051"/>
    <w:rsid w:val="00555FCA"/>
    <w:rsid w:val="00556368"/>
    <w:rsid w:val="0055636D"/>
    <w:rsid w:val="00557AF5"/>
    <w:rsid w:val="005602E4"/>
    <w:rsid w:val="00560880"/>
    <w:rsid w:val="00561442"/>
    <w:rsid w:val="00564FA6"/>
    <w:rsid w:val="005654DF"/>
    <w:rsid w:val="00566120"/>
    <w:rsid w:val="00567596"/>
    <w:rsid w:val="005706A8"/>
    <w:rsid w:val="00570B6C"/>
    <w:rsid w:val="00571261"/>
    <w:rsid w:val="00571D47"/>
    <w:rsid w:val="00573EB4"/>
    <w:rsid w:val="005751DC"/>
    <w:rsid w:val="005758B4"/>
    <w:rsid w:val="0057713A"/>
    <w:rsid w:val="00580028"/>
    <w:rsid w:val="00580B38"/>
    <w:rsid w:val="0058155A"/>
    <w:rsid w:val="00581A51"/>
    <w:rsid w:val="00581DAB"/>
    <w:rsid w:val="00581EB0"/>
    <w:rsid w:val="005822B4"/>
    <w:rsid w:val="00582F39"/>
    <w:rsid w:val="005912DB"/>
    <w:rsid w:val="00591486"/>
    <w:rsid w:val="00592035"/>
    <w:rsid w:val="0059396E"/>
    <w:rsid w:val="005946ED"/>
    <w:rsid w:val="00596ED3"/>
    <w:rsid w:val="005A0A7A"/>
    <w:rsid w:val="005A25B2"/>
    <w:rsid w:val="005A342D"/>
    <w:rsid w:val="005A3441"/>
    <w:rsid w:val="005A68CD"/>
    <w:rsid w:val="005A79E5"/>
    <w:rsid w:val="005B106E"/>
    <w:rsid w:val="005B185C"/>
    <w:rsid w:val="005B1F9D"/>
    <w:rsid w:val="005B29C0"/>
    <w:rsid w:val="005B39A3"/>
    <w:rsid w:val="005B4221"/>
    <w:rsid w:val="005B7D3A"/>
    <w:rsid w:val="005C00EC"/>
    <w:rsid w:val="005C0DAA"/>
    <w:rsid w:val="005C5DE7"/>
    <w:rsid w:val="005D16DA"/>
    <w:rsid w:val="005D3039"/>
    <w:rsid w:val="005D7773"/>
    <w:rsid w:val="005E03DE"/>
    <w:rsid w:val="005E5AE9"/>
    <w:rsid w:val="005E69FA"/>
    <w:rsid w:val="005E700E"/>
    <w:rsid w:val="005F0F5E"/>
    <w:rsid w:val="005F2DF4"/>
    <w:rsid w:val="005F48C5"/>
    <w:rsid w:val="005F497D"/>
    <w:rsid w:val="00600E7A"/>
    <w:rsid w:val="006013E7"/>
    <w:rsid w:val="00601C80"/>
    <w:rsid w:val="00604E26"/>
    <w:rsid w:val="00604E76"/>
    <w:rsid w:val="00605514"/>
    <w:rsid w:val="00606D5E"/>
    <w:rsid w:val="00607B3E"/>
    <w:rsid w:val="006102D4"/>
    <w:rsid w:val="0061108A"/>
    <w:rsid w:val="00613B34"/>
    <w:rsid w:val="00613FE9"/>
    <w:rsid w:val="00617358"/>
    <w:rsid w:val="0062169F"/>
    <w:rsid w:val="0062174C"/>
    <w:rsid w:val="00621B60"/>
    <w:rsid w:val="0062641A"/>
    <w:rsid w:val="006322FE"/>
    <w:rsid w:val="00633A48"/>
    <w:rsid w:val="00636D3E"/>
    <w:rsid w:val="0063779C"/>
    <w:rsid w:val="00640D1E"/>
    <w:rsid w:val="00641C0B"/>
    <w:rsid w:val="0064388B"/>
    <w:rsid w:val="00644F86"/>
    <w:rsid w:val="00645100"/>
    <w:rsid w:val="00646DB0"/>
    <w:rsid w:val="00652E46"/>
    <w:rsid w:val="006531BA"/>
    <w:rsid w:val="006548C6"/>
    <w:rsid w:val="00655497"/>
    <w:rsid w:val="00656DEE"/>
    <w:rsid w:val="006576DA"/>
    <w:rsid w:val="00661F8A"/>
    <w:rsid w:val="00662736"/>
    <w:rsid w:val="0066291E"/>
    <w:rsid w:val="00662D7C"/>
    <w:rsid w:val="00662DC6"/>
    <w:rsid w:val="006634FD"/>
    <w:rsid w:val="0066567E"/>
    <w:rsid w:val="006676D2"/>
    <w:rsid w:val="00667F4A"/>
    <w:rsid w:val="00671CFA"/>
    <w:rsid w:val="00673B89"/>
    <w:rsid w:val="0068047D"/>
    <w:rsid w:val="00681370"/>
    <w:rsid w:val="0068145B"/>
    <w:rsid w:val="0068213F"/>
    <w:rsid w:val="00682956"/>
    <w:rsid w:val="006833A0"/>
    <w:rsid w:val="00683695"/>
    <w:rsid w:val="0068646F"/>
    <w:rsid w:val="00686C56"/>
    <w:rsid w:val="0068760A"/>
    <w:rsid w:val="00690568"/>
    <w:rsid w:val="00690BE6"/>
    <w:rsid w:val="00693F77"/>
    <w:rsid w:val="006949F9"/>
    <w:rsid w:val="00695BED"/>
    <w:rsid w:val="0069734C"/>
    <w:rsid w:val="00697AFC"/>
    <w:rsid w:val="006A0B46"/>
    <w:rsid w:val="006A0E7B"/>
    <w:rsid w:val="006A139C"/>
    <w:rsid w:val="006A1E38"/>
    <w:rsid w:val="006A4724"/>
    <w:rsid w:val="006A4920"/>
    <w:rsid w:val="006A7D99"/>
    <w:rsid w:val="006A7E6C"/>
    <w:rsid w:val="006B0A18"/>
    <w:rsid w:val="006B0F41"/>
    <w:rsid w:val="006B2A07"/>
    <w:rsid w:val="006B2C89"/>
    <w:rsid w:val="006B3FBE"/>
    <w:rsid w:val="006B5731"/>
    <w:rsid w:val="006B5B20"/>
    <w:rsid w:val="006B6823"/>
    <w:rsid w:val="006B7A8D"/>
    <w:rsid w:val="006C0528"/>
    <w:rsid w:val="006C158E"/>
    <w:rsid w:val="006C2272"/>
    <w:rsid w:val="006C2C49"/>
    <w:rsid w:val="006C37E5"/>
    <w:rsid w:val="006C463B"/>
    <w:rsid w:val="006C70C0"/>
    <w:rsid w:val="006C75DC"/>
    <w:rsid w:val="006C76C4"/>
    <w:rsid w:val="006D00A4"/>
    <w:rsid w:val="006D2E1D"/>
    <w:rsid w:val="006D2F1E"/>
    <w:rsid w:val="006D51B2"/>
    <w:rsid w:val="006D6F5A"/>
    <w:rsid w:val="006E18FE"/>
    <w:rsid w:val="006E1A10"/>
    <w:rsid w:val="006E1CB8"/>
    <w:rsid w:val="006E2241"/>
    <w:rsid w:val="006E28EF"/>
    <w:rsid w:val="006E520B"/>
    <w:rsid w:val="006F0A7B"/>
    <w:rsid w:val="006F0CD3"/>
    <w:rsid w:val="006F1206"/>
    <w:rsid w:val="006F194D"/>
    <w:rsid w:val="006F1C47"/>
    <w:rsid w:val="006F29CE"/>
    <w:rsid w:val="006F37FE"/>
    <w:rsid w:val="006F42A4"/>
    <w:rsid w:val="006F4D5F"/>
    <w:rsid w:val="006F51DD"/>
    <w:rsid w:val="006F53C9"/>
    <w:rsid w:val="006F5EF2"/>
    <w:rsid w:val="006F7CF6"/>
    <w:rsid w:val="00700B9C"/>
    <w:rsid w:val="007012E9"/>
    <w:rsid w:val="007020D2"/>
    <w:rsid w:val="007024F5"/>
    <w:rsid w:val="00702DB4"/>
    <w:rsid w:val="00704121"/>
    <w:rsid w:val="007047C6"/>
    <w:rsid w:val="00704E00"/>
    <w:rsid w:val="0070559F"/>
    <w:rsid w:val="0070755A"/>
    <w:rsid w:val="00711038"/>
    <w:rsid w:val="00712221"/>
    <w:rsid w:val="00714786"/>
    <w:rsid w:val="00714EF0"/>
    <w:rsid w:val="007150D9"/>
    <w:rsid w:val="0071710F"/>
    <w:rsid w:val="00722339"/>
    <w:rsid w:val="007230C5"/>
    <w:rsid w:val="0072555E"/>
    <w:rsid w:val="00726582"/>
    <w:rsid w:val="00727BEA"/>
    <w:rsid w:val="0073136B"/>
    <w:rsid w:val="007314DC"/>
    <w:rsid w:val="00734A8A"/>
    <w:rsid w:val="00734D34"/>
    <w:rsid w:val="00734EE3"/>
    <w:rsid w:val="00735B1E"/>
    <w:rsid w:val="007373EC"/>
    <w:rsid w:val="00737B5E"/>
    <w:rsid w:val="007403ED"/>
    <w:rsid w:val="007445FF"/>
    <w:rsid w:val="00744929"/>
    <w:rsid w:val="00744E4C"/>
    <w:rsid w:val="00744E8D"/>
    <w:rsid w:val="00745F2D"/>
    <w:rsid w:val="00747373"/>
    <w:rsid w:val="00747C1C"/>
    <w:rsid w:val="00747CF2"/>
    <w:rsid w:val="007554BC"/>
    <w:rsid w:val="00755EBC"/>
    <w:rsid w:val="0075614E"/>
    <w:rsid w:val="00757714"/>
    <w:rsid w:val="007577CB"/>
    <w:rsid w:val="00760588"/>
    <w:rsid w:val="0076110D"/>
    <w:rsid w:val="00762181"/>
    <w:rsid w:val="007642B9"/>
    <w:rsid w:val="00765130"/>
    <w:rsid w:val="007655CD"/>
    <w:rsid w:val="00765ED9"/>
    <w:rsid w:val="00766A47"/>
    <w:rsid w:val="00774B32"/>
    <w:rsid w:val="00775456"/>
    <w:rsid w:val="0077714C"/>
    <w:rsid w:val="00777DBF"/>
    <w:rsid w:val="00783D22"/>
    <w:rsid w:val="00785FA4"/>
    <w:rsid w:val="007864B7"/>
    <w:rsid w:val="00786E8A"/>
    <w:rsid w:val="00790EF9"/>
    <w:rsid w:val="00791642"/>
    <w:rsid w:val="0079220B"/>
    <w:rsid w:val="007944FE"/>
    <w:rsid w:val="00794609"/>
    <w:rsid w:val="00795C41"/>
    <w:rsid w:val="00797135"/>
    <w:rsid w:val="007A2A9D"/>
    <w:rsid w:val="007A3378"/>
    <w:rsid w:val="007A7543"/>
    <w:rsid w:val="007B0C4D"/>
    <w:rsid w:val="007B0F4F"/>
    <w:rsid w:val="007B1177"/>
    <w:rsid w:val="007B241D"/>
    <w:rsid w:val="007B3F8F"/>
    <w:rsid w:val="007C00B6"/>
    <w:rsid w:val="007C1579"/>
    <w:rsid w:val="007C349A"/>
    <w:rsid w:val="007C522D"/>
    <w:rsid w:val="007C61AA"/>
    <w:rsid w:val="007D0AAF"/>
    <w:rsid w:val="007D13E2"/>
    <w:rsid w:val="007D2317"/>
    <w:rsid w:val="007D5A90"/>
    <w:rsid w:val="007E4086"/>
    <w:rsid w:val="007E503A"/>
    <w:rsid w:val="007E53D5"/>
    <w:rsid w:val="007E6898"/>
    <w:rsid w:val="007E6AC7"/>
    <w:rsid w:val="007F0959"/>
    <w:rsid w:val="007F2141"/>
    <w:rsid w:val="007F29E3"/>
    <w:rsid w:val="007F34DC"/>
    <w:rsid w:val="007F3CEE"/>
    <w:rsid w:val="007F4C69"/>
    <w:rsid w:val="007F61C0"/>
    <w:rsid w:val="007F6C6A"/>
    <w:rsid w:val="00800497"/>
    <w:rsid w:val="008019B8"/>
    <w:rsid w:val="00804170"/>
    <w:rsid w:val="00804C4E"/>
    <w:rsid w:val="008055E7"/>
    <w:rsid w:val="00805D59"/>
    <w:rsid w:val="0081097B"/>
    <w:rsid w:val="0081106E"/>
    <w:rsid w:val="00812538"/>
    <w:rsid w:val="008130A4"/>
    <w:rsid w:val="008131C0"/>
    <w:rsid w:val="00814862"/>
    <w:rsid w:val="0081656F"/>
    <w:rsid w:val="00816806"/>
    <w:rsid w:val="00817CE6"/>
    <w:rsid w:val="00820BC0"/>
    <w:rsid w:val="00821D70"/>
    <w:rsid w:val="0082284D"/>
    <w:rsid w:val="00822F26"/>
    <w:rsid w:val="00823131"/>
    <w:rsid w:val="008235D0"/>
    <w:rsid w:val="008249B2"/>
    <w:rsid w:val="00824EED"/>
    <w:rsid w:val="0082539F"/>
    <w:rsid w:val="0082598F"/>
    <w:rsid w:val="0083026E"/>
    <w:rsid w:val="00830308"/>
    <w:rsid w:val="0083199E"/>
    <w:rsid w:val="008319FD"/>
    <w:rsid w:val="00831E43"/>
    <w:rsid w:val="008326E5"/>
    <w:rsid w:val="0083327F"/>
    <w:rsid w:val="008353C5"/>
    <w:rsid w:val="00835EF6"/>
    <w:rsid w:val="008365DF"/>
    <w:rsid w:val="00836E10"/>
    <w:rsid w:val="00837D12"/>
    <w:rsid w:val="00843254"/>
    <w:rsid w:val="00843F14"/>
    <w:rsid w:val="008443E7"/>
    <w:rsid w:val="008444F1"/>
    <w:rsid w:val="0084647C"/>
    <w:rsid w:val="0084684A"/>
    <w:rsid w:val="00847CDF"/>
    <w:rsid w:val="00852644"/>
    <w:rsid w:val="00853ECE"/>
    <w:rsid w:val="00853FFC"/>
    <w:rsid w:val="008540FC"/>
    <w:rsid w:val="008547F6"/>
    <w:rsid w:val="008631C0"/>
    <w:rsid w:val="00863310"/>
    <w:rsid w:val="0086516A"/>
    <w:rsid w:val="008653E8"/>
    <w:rsid w:val="00865B98"/>
    <w:rsid w:val="00867C9E"/>
    <w:rsid w:val="00870BA4"/>
    <w:rsid w:val="00871520"/>
    <w:rsid w:val="008715A5"/>
    <w:rsid w:val="00874B02"/>
    <w:rsid w:val="008751B8"/>
    <w:rsid w:val="00877259"/>
    <w:rsid w:val="008802EE"/>
    <w:rsid w:val="00882966"/>
    <w:rsid w:val="00883704"/>
    <w:rsid w:val="00883FFE"/>
    <w:rsid w:val="00884B1C"/>
    <w:rsid w:val="00886A1E"/>
    <w:rsid w:val="00886C5A"/>
    <w:rsid w:val="00886E46"/>
    <w:rsid w:val="00886F9C"/>
    <w:rsid w:val="00891417"/>
    <w:rsid w:val="00891C84"/>
    <w:rsid w:val="00892D83"/>
    <w:rsid w:val="00893195"/>
    <w:rsid w:val="008936A5"/>
    <w:rsid w:val="00896478"/>
    <w:rsid w:val="008973D3"/>
    <w:rsid w:val="008A18B0"/>
    <w:rsid w:val="008A270A"/>
    <w:rsid w:val="008B0AF2"/>
    <w:rsid w:val="008B12A3"/>
    <w:rsid w:val="008B1883"/>
    <w:rsid w:val="008B18E6"/>
    <w:rsid w:val="008B3933"/>
    <w:rsid w:val="008B4397"/>
    <w:rsid w:val="008B4468"/>
    <w:rsid w:val="008B4538"/>
    <w:rsid w:val="008C044D"/>
    <w:rsid w:val="008C051C"/>
    <w:rsid w:val="008C1920"/>
    <w:rsid w:val="008C333F"/>
    <w:rsid w:val="008C5F12"/>
    <w:rsid w:val="008C6B63"/>
    <w:rsid w:val="008C7FB2"/>
    <w:rsid w:val="008D1238"/>
    <w:rsid w:val="008D189A"/>
    <w:rsid w:val="008D532A"/>
    <w:rsid w:val="008D549B"/>
    <w:rsid w:val="008D6842"/>
    <w:rsid w:val="008D7943"/>
    <w:rsid w:val="008E2EB5"/>
    <w:rsid w:val="008E36DD"/>
    <w:rsid w:val="008E55A2"/>
    <w:rsid w:val="008E5763"/>
    <w:rsid w:val="008E76F2"/>
    <w:rsid w:val="008F0445"/>
    <w:rsid w:val="008F0654"/>
    <w:rsid w:val="008F1037"/>
    <w:rsid w:val="008F1A60"/>
    <w:rsid w:val="008F4EA1"/>
    <w:rsid w:val="008F4EC5"/>
    <w:rsid w:val="008F5D21"/>
    <w:rsid w:val="008F61E1"/>
    <w:rsid w:val="008F77C4"/>
    <w:rsid w:val="009006C5"/>
    <w:rsid w:val="00901DC6"/>
    <w:rsid w:val="009021FA"/>
    <w:rsid w:val="00902298"/>
    <w:rsid w:val="00902EA5"/>
    <w:rsid w:val="00903571"/>
    <w:rsid w:val="009038CB"/>
    <w:rsid w:val="00903D35"/>
    <w:rsid w:val="009046EA"/>
    <w:rsid w:val="00905A4B"/>
    <w:rsid w:val="009060CB"/>
    <w:rsid w:val="009068FF"/>
    <w:rsid w:val="00906DA8"/>
    <w:rsid w:val="00911AAE"/>
    <w:rsid w:val="00916C77"/>
    <w:rsid w:val="00917262"/>
    <w:rsid w:val="009201F8"/>
    <w:rsid w:val="00925CB9"/>
    <w:rsid w:val="00926790"/>
    <w:rsid w:val="00927D36"/>
    <w:rsid w:val="00930CD1"/>
    <w:rsid w:val="0093629F"/>
    <w:rsid w:val="00940709"/>
    <w:rsid w:val="00941826"/>
    <w:rsid w:val="0094209F"/>
    <w:rsid w:val="009426B5"/>
    <w:rsid w:val="00942CC1"/>
    <w:rsid w:val="00944030"/>
    <w:rsid w:val="00944977"/>
    <w:rsid w:val="00950E94"/>
    <w:rsid w:val="00951D08"/>
    <w:rsid w:val="00953AF4"/>
    <w:rsid w:val="00954085"/>
    <w:rsid w:val="00954392"/>
    <w:rsid w:val="00956121"/>
    <w:rsid w:val="00960B3B"/>
    <w:rsid w:val="00962820"/>
    <w:rsid w:val="00963E93"/>
    <w:rsid w:val="009652C0"/>
    <w:rsid w:val="00965B65"/>
    <w:rsid w:val="0096607E"/>
    <w:rsid w:val="009712DA"/>
    <w:rsid w:val="009741EC"/>
    <w:rsid w:val="009768AC"/>
    <w:rsid w:val="0098053A"/>
    <w:rsid w:val="00981C49"/>
    <w:rsid w:val="009824DE"/>
    <w:rsid w:val="009826FD"/>
    <w:rsid w:val="00982D6F"/>
    <w:rsid w:val="00984796"/>
    <w:rsid w:val="009852CC"/>
    <w:rsid w:val="00985915"/>
    <w:rsid w:val="00985EB0"/>
    <w:rsid w:val="00987CA8"/>
    <w:rsid w:val="00990E5D"/>
    <w:rsid w:val="00990FC7"/>
    <w:rsid w:val="009917AA"/>
    <w:rsid w:val="0099261F"/>
    <w:rsid w:val="00993322"/>
    <w:rsid w:val="00994457"/>
    <w:rsid w:val="0099617F"/>
    <w:rsid w:val="009A3F88"/>
    <w:rsid w:val="009A44AA"/>
    <w:rsid w:val="009A5958"/>
    <w:rsid w:val="009A5CE4"/>
    <w:rsid w:val="009A6385"/>
    <w:rsid w:val="009A6BC8"/>
    <w:rsid w:val="009B2E66"/>
    <w:rsid w:val="009B32F9"/>
    <w:rsid w:val="009B4823"/>
    <w:rsid w:val="009B49C7"/>
    <w:rsid w:val="009B668A"/>
    <w:rsid w:val="009B69EB"/>
    <w:rsid w:val="009B7B04"/>
    <w:rsid w:val="009C23F3"/>
    <w:rsid w:val="009C3D37"/>
    <w:rsid w:val="009C4C58"/>
    <w:rsid w:val="009C4FB8"/>
    <w:rsid w:val="009C7D71"/>
    <w:rsid w:val="009D2056"/>
    <w:rsid w:val="009D4688"/>
    <w:rsid w:val="009D52C0"/>
    <w:rsid w:val="009D792E"/>
    <w:rsid w:val="009E1DEE"/>
    <w:rsid w:val="009E2716"/>
    <w:rsid w:val="009E3515"/>
    <w:rsid w:val="009E4A69"/>
    <w:rsid w:val="009E6D70"/>
    <w:rsid w:val="009E6D97"/>
    <w:rsid w:val="009E7484"/>
    <w:rsid w:val="009E7F81"/>
    <w:rsid w:val="009F1682"/>
    <w:rsid w:val="009F1D66"/>
    <w:rsid w:val="009F6763"/>
    <w:rsid w:val="009F690F"/>
    <w:rsid w:val="00A000A9"/>
    <w:rsid w:val="00A0147F"/>
    <w:rsid w:val="00A058EF"/>
    <w:rsid w:val="00A061E5"/>
    <w:rsid w:val="00A118DA"/>
    <w:rsid w:val="00A11CFB"/>
    <w:rsid w:val="00A12259"/>
    <w:rsid w:val="00A14B60"/>
    <w:rsid w:val="00A152C8"/>
    <w:rsid w:val="00A15329"/>
    <w:rsid w:val="00A17590"/>
    <w:rsid w:val="00A20234"/>
    <w:rsid w:val="00A2053C"/>
    <w:rsid w:val="00A20A56"/>
    <w:rsid w:val="00A21080"/>
    <w:rsid w:val="00A223A5"/>
    <w:rsid w:val="00A23CD4"/>
    <w:rsid w:val="00A255D6"/>
    <w:rsid w:val="00A25BDF"/>
    <w:rsid w:val="00A27BC8"/>
    <w:rsid w:val="00A3207E"/>
    <w:rsid w:val="00A3402B"/>
    <w:rsid w:val="00A364AB"/>
    <w:rsid w:val="00A36E63"/>
    <w:rsid w:val="00A3794F"/>
    <w:rsid w:val="00A403B2"/>
    <w:rsid w:val="00A40574"/>
    <w:rsid w:val="00A4647E"/>
    <w:rsid w:val="00A47876"/>
    <w:rsid w:val="00A509C5"/>
    <w:rsid w:val="00A50EF6"/>
    <w:rsid w:val="00A5110B"/>
    <w:rsid w:val="00A52AF9"/>
    <w:rsid w:val="00A604E9"/>
    <w:rsid w:val="00A610F4"/>
    <w:rsid w:val="00A62AD7"/>
    <w:rsid w:val="00A63E6F"/>
    <w:rsid w:val="00A64948"/>
    <w:rsid w:val="00A65859"/>
    <w:rsid w:val="00A66254"/>
    <w:rsid w:val="00A67006"/>
    <w:rsid w:val="00A67F9C"/>
    <w:rsid w:val="00A71119"/>
    <w:rsid w:val="00A71899"/>
    <w:rsid w:val="00A723A1"/>
    <w:rsid w:val="00A7341C"/>
    <w:rsid w:val="00A7353A"/>
    <w:rsid w:val="00A7398D"/>
    <w:rsid w:val="00A74469"/>
    <w:rsid w:val="00A75BA4"/>
    <w:rsid w:val="00A77059"/>
    <w:rsid w:val="00A77A42"/>
    <w:rsid w:val="00A81312"/>
    <w:rsid w:val="00A81482"/>
    <w:rsid w:val="00A838D0"/>
    <w:rsid w:val="00A83BDD"/>
    <w:rsid w:val="00A8450A"/>
    <w:rsid w:val="00A852D2"/>
    <w:rsid w:val="00A862CF"/>
    <w:rsid w:val="00A874CB"/>
    <w:rsid w:val="00A87529"/>
    <w:rsid w:val="00A8758C"/>
    <w:rsid w:val="00A90ACE"/>
    <w:rsid w:val="00A90B9A"/>
    <w:rsid w:val="00A90BFB"/>
    <w:rsid w:val="00A90D87"/>
    <w:rsid w:val="00A939C3"/>
    <w:rsid w:val="00A95E65"/>
    <w:rsid w:val="00A96048"/>
    <w:rsid w:val="00AA0BE6"/>
    <w:rsid w:val="00AA48AE"/>
    <w:rsid w:val="00AA624F"/>
    <w:rsid w:val="00AB00D0"/>
    <w:rsid w:val="00AB2C03"/>
    <w:rsid w:val="00AB4430"/>
    <w:rsid w:val="00AB7639"/>
    <w:rsid w:val="00AC1266"/>
    <w:rsid w:val="00AC3CA4"/>
    <w:rsid w:val="00AC40B3"/>
    <w:rsid w:val="00AC4F03"/>
    <w:rsid w:val="00AC558D"/>
    <w:rsid w:val="00AC5835"/>
    <w:rsid w:val="00AC61AE"/>
    <w:rsid w:val="00AC63EF"/>
    <w:rsid w:val="00AD1A28"/>
    <w:rsid w:val="00AD415D"/>
    <w:rsid w:val="00AE090D"/>
    <w:rsid w:val="00AE4C0B"/>
    <w:rsid w:val="00AE5B46"/>
    <w:rsid w:val="00AE6912"/>
    <w:rsid w:val="00AE6DA3"/>
    <w:rsid w:val="00AE732A"/>
    <w:rsid w:val="00AE7B02"/>
    <w:rsid w:val="00AF1C16"/>
    <w:rsid w:val="00AF318B"/>
    <w:rsid w:val="00AF43D3"/>
    <w:rsid w:val="00AF755B"/>
    <w:rsid w:val="00AF7E7A"/>
    <w:rsid w:val="00AF7F69"/>
    <w:rsid w:val="00B007F2"/>
    <w:rsid w:val="00B01272"/>
    <w:rsid w:val="00B02CD5"/>
    <w:rsid w:val="00B047F0"/>
    <w:rsid w:val="00B06D62"/>
    <w:rsid w:val="00B12BCD"/>
    <w:rsid w:val="00B16123"/>
    <w:rsid w:val="00B16261"/>
    <w:rsid w:val="00B17175"/>
    <w:rsid w:val="00B17AA2"/>
    <w:rsid w:val="00B2072E"/>
    <w:rsid w:val="00B25B98"/>
    <w:rsid w:val="00B25FE3"/>
    <w:rsid w:val="00B2644E"/>
    <w:rsid w:val="00B32C10"/>
    <w:rsid w:val="00B35722"/>
    <w:rsid w:val="00B35F73"/>
    <w:rsid w:val="00B37F8B"/>
    <w:rsid w:val="00B404C6"/>
    <w:rsid w:val="00B408E0"/>
    <w:rsid w:val="00B41C41"/>
    <w:rsid w:val="00B421A5"/>
    <w:rsid w:val="00B429B9"/>
    <w:rsid w:val="00B479E8"/>
    <w:rsid w:val="00B52C03"/>
    <w:rsid w:val="00B53997"/>
    <w:rsid w:val="00B5614D"/>
    <w:rsid w:val="00B578CD"/>
    <w:rsid w:val="00B6170B"/>
    <w:rsid w:val="00B6210A"/>
    <w:rsid w:val="00B62E4A"/>
    <w:rsid w:val="00B6430E"/>
    <w:rsid w:val="00B6528A"/>
    <w:rsid w:val="00B65457"/>
    <w:rsid w:val="00B655D8"/>
    <w:rsid w:val="00B65CBD"/>
    <w:rsid w:val="00B6663B"/>
    <w:rsid w:val="00B70288"/>
    <w:rsid w:val="00B71343"/>
    <w:rsid w:val="00B74549"/>
    <w:rsid w:val="00B757F1"/>
    <w:rsid w:val="00B7769D"/>
    <w:rsid w:val="00B77803"/>
    <w:rsid w:val="00B8116A"/>
    <w:rsid w:val="00B81B49"/>
    <w:rsid w:val="00B82B91"/>
    <w:rsid w:val="00B83529"/>
    <w:rsid w:val="00B837A0"/>
    <w:rsid w:val="00B83D4E"/>
    <w:rsid w:val="00B90686"/>
    <w:rsid w:val="00B91C26"/>
    <w:rsid w:val="00B91F24"/>
    <w:rsid w:val="00B936B0"/>
    <w:rsid w:val="00B94FC3"/>
    <w:rsid w:val="00B96B14"/>
    <w:rsid w:val="00B974A9"/>
    <w:rsid w:val="00BA019C"/>
    <w:rsid w:val="00BA0F4F"/>
    <w:rsid w:val="00BA1EBA"/>
    <w:rsid w:val="00BA2359"/>
    <w:rsid w:val="00BA3DF5"/>
    <w:rsid w:val="00BA3F24"/>
    <w:rsid w:val="00BA512F"/>
    <w:rsid w:val="00BA5486"/>
    <w:rsid w:val="00BA596C"/>
    <w:rsid w:val="00BA5E85"/>
    <w:rsid w:val="00BA68FE"/>
    <w:rsid w:val="00BA7384"/>
    <w:rsid w:val="00BB182F"/>
    <w:rsid w:val="00BB52D5"/>
    <w:rsid w:val="00BB64EC"/>
    <w:rsid w:val="00BB71E1"/>
    <w:rsid w:val="00BC08EC"/>
    <w:rsid w:val="00BC5456"/>
    <w:rsid w:val="00BC6111"/>
    <w:rsid w:val="00BC7A63"/>
    <w:rsid w:val="00BD3A8D"/>
    <w:rsid w:val="00BD3BE5"/>
    <w:rsid w:val="00BD4A49"/>
    <w:rsid w:val="00BD4FA2"/>
    <w:rsid w:val="00BE2510"/>
    <w:rsid w:val="00BE269D"/>
    <w:rsid w:val="00BE3DF2"/>
    <w:rsid w:val="00BE49FE"/>
    <w:rsid w:val="00BE6136"/>
    <w:rsid w:val="00BE61B8"/>
    <w:rsid w:val="00BE6C06"/>
    <w:rsid w:val="00BF4DB1"/>
    <w:rsid w:val="00BF6A97"/>
    <w:rsid w:val="00C00F4E"/>
    <w:rsid w:val="00C0105B"/>
    <w:rsid w:val="00C0152F"/>
    <w:rsid w:val="00C016FE"/>
    <w:rsid w:val="00C039CA"/>
    <w:rsid w:val="00C14397"/>
    <w:rsid w:val="00C1455A"/>
    <w:rsid w:val="00C14C55"/>
    <w:rsid w:val="00C171F7"/>
    <w:rsid w:val="00C21409"/>
    <w:rsid w:val="00C228DA"/>
    <w:rsid w:val="00C24276"/>
    <w:rsid w:val="00C25CF3"/>
    <w:rsid w:val="00C27ABE"/>
    <w:rsid w:val="00C32F70"/>
    <w:rsid w:val="00C347DE"/>
    <w:rsid w:val="00C349AF"/>
    <w:rsid w:val="00C349E2"/>
    <w:rsid w:val="00C35DD3"/>
    <w:rsid w:val="00C402B2"/>
    <w:rsid w:val="00C40589"/>
    <w:rsid w:val="00C419B0"/>
    <w:rsid w:val="00C427D5"/>
    <w:rsid w:val="00C456C8"/>
    <w:rsid w:val="00C50E43"/>
    <w:rsid w:val="00C5366C"/>
    <w:rsid w:val="00C53BBF"/>
    <w:rsid w:val="00C53BDF"/>
    <w:rsid w:val="00C53C20"/>
    <w:rsid w:val="00C540F3"/>
    <w:rsid w:val="00C54F59"/>
    <w:rsid w:val="00C55503"/>
    <w:rsid w:val="00C558E5"/>
    <w:rsid w:val="00C572BD"/>
    <w:rsid w:val="00C605AF"/>
    <w:rsid w:val="00C62069"/>
    <w:rsid w:val="00C6227E"/>
    <w:rsid w:val="00C63EF8"/>
    <w:rsid w:val="00C660B9"/>
    <w:rsid w:val="00C74297"/>
    <w:rsid w:val="00C75C42"/>
    <w:rsid w:val="00C772E7"/>
    <w:rsid w:val="00C812C2"/>
    <w:rsid w:val="00C8201A"/>
    <w:rsid w:val="00C85D0F"/>
    <w:rsid w:val="00C862DE"/>
    <w:rsid w:val="00C878A1"/>
    <w:rsid w:val="00C92022"/>
    <w:rsid w:val="00C9213E"/>
    <w:rsid w:val="00C92C2F"/>
    <w:rsid w:val="00C92C94"/>
    <w:rsid w:val="00C95C2C"/>
    <w:rsid w:val="00C97427"/>
    <w:rsid w:val="00C9763A"/>
    <w:rsid w:val="00CA1715"/>
    <w:rsid w:val="00CA183F"/>
    <w:rsid w:val="00CA3CA9"/>
    <w:rsid w:val="00CA57D3"/>
    <w:rsid w:val="00CA5F26"/>
    <w:rsid w:val="00CA70F7"/>
    <w:rsid w:val="00CB0D61"/>
    <w:rsid w:val="00CB1CA3"/>
    <w:rsid w:val="00CB245B"/>
    <w:rsid w:val="00CB2F68"/>
    <w:rsid w:val="00CB3323"/>
    <w:rsid w:val="00CB3A0B"/>
    <w:rsid w:val="00CB5403"/>
    <w:rsid w:val="00CB6438"/>
    <w:rsid w:val="00CB7DDF"/>
    <w:rsid w:val="00CB7E5B"/>
    <w:rsid w:val="00CC4DF5"/>
    <w:rsid w:val="00CC4F54"/>
    <w:rsid w:val="00CC5B58"/>
    <w:rsid w:val="00CC5E65"/>
    <w:rsid w:val="00CC6405"/>
    <w:rsid w:val="00CC6471"/>
    <w:rsid w:val="00CD4D61"/>
    <w:rsid w:val="00CE0F28"/>
    <w:rsid w:val="00CE203E"/>
    <w:rsid w:val="00CE441A"/>
    <w:rsid w:val="00CE61E7"/>
    <w:rsid w:val="00CF1A3F"/>
    <w:rsid w:val="00CF3BBB"/>
    <w:rsid w:val="00CF461B"/>
    <w:rsid w:val="00CF5353"/>
    <w:rsid w:val="00CF6657"/>
    <w:rsid w:val="00CF7A9A"/>
    <w:rsid w:val="00CF7C50"/>
    <w:rsid w:val="00CF7FE7"/>
    <w:rsid w:val="00D00B30"/>
    <w:rsid w:val="00D02E4E"/>
    <w:rsid w:val="00D0398C"/>
    <w:rsid w:val="00D05996"/>
    <w:rsid w:val="00D06A92"/>
    <w:rsid w:val="00D10C10"/>
    <w:rsid w:val="00D11208"/>
    <w:rsid w:val="00D144A1"/>
    <w:rsid w:val="00D15C11"/>
    <w:rsid w:val="00D16ADF"/>
    <w:rsid w:val="00D20851"/>
    <w:rsid w:val="00D20B0B"/>
    <w:rsid w:val="00D21AA6"/>
    <w:rsid w:val="00D223D1"/>
    <w:rsid w:val="00D22CEB"/>
    <w:rsid w:val="00D2505D"/>
    <w:rsid w:val="00D25872"/>
    <w:rsid w:val="00D3153F"/>
    <w:rsid w:val="00D32086"/>
    <w:rsid w:val="00D32BB4"/>
    <w:rsid w:val="00D344C1"/>
    <w:rsid w:val="00D3566D"/>
    <w:rsid w:val="00D40994"/>
    <w:rsid w:val="00D41066"/>
    <w:rsid w:val="00D41243"/>
    <w:rsid w:val="00D42E9D"/>
    <w:rsid w:val="00D43A36"/>
    <w:rsid w:val="00D46380"/>
    <w:rsid w:val="00D50CE0"/>
    <w:rsid w:val="00D511B6"/>
    <w:rsid w:val="00D52F4C"/>
    <w:rsid w:val="00D53D8D"/>
    <w:rsid w:val="00D54E3B"/>
    <w:rsid w:val="00D5556C"/>
    <w:rsid w:val="00D56859"/>
    <w:rsid w:val="00D569B6"/>
    <w:rsid w:val="00D61763"/>
    <w:rsid w:val="00D63A9E"/>
    <w:rsid w:val="00D67B4B"/>
    <w:rsid w:val="00D74D3B"/>
    <w:rsid w:val="00D779D3"/>
    <w:rsid w:val="00D80937"/>
    <w:rsid w:val="00D82714"/>
    <w:rsid w:val="00D835E3"/>
    <w:rsid w:val="00D84BE0"/>
    <w:rsid w:val="00D85951"/>
    <w:rsid w:val="00D86688"/>
    <w:rsid w:val="00D9058C"/>
    <w:rsid w:val="00D92182"/>
    <w:rsid w:val="00D92BD2"/>
    <w:rsid w:val="00D92D78"/>
    <w:rsid w:val="00D92F95"/>
    <w:rsid w:val="00DA0530"/>
    <w:rsid w:val="00DA1497"/>
    <w:rsid w:val="00DA14A6"/>
    <w:rsid w:val="00DA24DC"/>
    <w:rsid w:val="00DA2C95"/>
    <w:rsid w:val="00DA2E46"/>
    <w:rsid w:val="00DA3871"/>
    <w:rsid w:val="00DA3B11"/>
    <w:rsid w:val="00DA47F4"/>
    <w:rsid w:val="00DA4C9F"/>
    <w:rsid w:val="00DA5E5C"/>
    <w:rsid w:val="00DA64F6"/>
    <w:rsid w:val="00DA7A96"/>
    <w:rsid w:val="00DB26D5"/>
    <w:rsid w:val="00DB2AD5"/>
    <w:rsid w:val="00DB6116"/>
    <w:rsid w:val="00DB6C45"/>
    <w:rsid w:val="00DB711D"/>
    <w:rsid w:val="00DB7384"/>
    <w:rsid w:val="00DC0BB5"/>
    <w:rsid w:val="00DC0CE7"/>
    <w:rsid w:val="00DC0DCC"/>
    <w:rsid w:val="00DC0FD7"/>
    <w:rsid w:val="00DC1792"/>
    <w:rsid w:val="00DC2547"/>
    <w:rsid w:val="00DC3CBE"/>
    <w:rsid w:val="00DD136D"/>
    <w:rsid w:val="00DD4B93"/>
    <w:rsid w:val="00DD4CE0"/>
    <w:rsid w:val="00DD510E"/>
    <w:rsid w:val="00DE0C1D"/>
    <w:rsid w:val="00DE2055"/>
    <w:rsid w:val="00DE2389"/>
    <w:rsid w:val="00DE36E9"/>
    <w:rsid w:val="00DE41DD"/>
    <w:rsid w:val="00DE5077"/>
    <w:rsid w:val="00DF02AB"/>
    <w:rsid w:val="00DF0E6E"/>
    <w:rsid w:val="00DF2664"/>
    <w:rsid w:val="00DF69A3"/>
    <w:rsid w:val="00E00918"/>
    <w:rsid w:val="00E03686"/>
    <w:rsid w:val="00E061FC"/>
    <w:rsid w:val="00E062C6"/>
    <w:rsid w:val="00E066F5"/>
    <w:rsid w:val="00E074D9"/>
    <w:rsid w:val="00E10BD0"/>
    <w:rsid w:val="00E11D18"/>
    <w:rsid w:val="00E12ECE"/>
    <w:rsid w:val="00E13D67"/>
    <w:rsid w:val="00E14115"/>
    <w:rsid w:val="00E17E16"/>
    <w:rsid w:val="00E24E36"/>
    <w:rsid w:val="00E27871"/>
    <w:rsid w:val="00E31C86"/>
    <w:rsid w:val="00E322BD"/>
    <w:rsid w:val="00E32E7F"/>
    <w:rsid w:val="00E352B6"/>
    <w:rsid w:val="00E36DCE"/>
    <w:rsid w:val="00E40D1E"/>
    <w:rsid w:val="00E41468"/>
    <w:rsid w:val="00E421F7"/>
    <w:rsid w:val="00E43397"/>
    <w:rsid w:val="00E43D0A"/>
    <w:rsid w:val="00E45C37"/>
    <w:rsid w:val="00E46527"/>
    <w:rsid w:val="00E47357"/>
    <w:rsid w:val="00E50358"/>
    <w:rsid w:val="00E50605"/>
    <w:rsid w:val="00E534E7"/>
    <w:rsid w:val="00E538DA"/>
    <w:rsid w:val="00E5524F"/>
    <w:rsid w:val="00E56A59"/>
    <w:rsid w:val="00E57E75"/>
    <w:rsid w:val="00E60C20"/>
    <w:rsid w:val="00E60FBA"/>
    <w:rsid w:val="00E624E9"/>
    <w:rsid w:val="00E629AB"/>
    <w:rsid w:val="00E64727"/>
    <w:rsid w:val="00E65908"/>
    <w:rsid w:val="00E6774B"/>
    <w:rsid w:val="00E6775F"/>
    <w:rsid w:val="00E67CF0"/>
    <w:rsid w:val="00E71D49"/>
    <w:rsid w:val="00E73EE3"/>
    <w:rsid w:val="00E77111"/>
    <w:rsid w:val="00E77665"/>
    <w:rsid w:val="00E8094D"/>
    <w:rsid w:val="00E80E31"/>
    <w:rsid w:val="00E82DFF"/>
    <w:rsid w:val="00E839F0"/>
    <w:rsid w:val="00E86324"/>
    <w:rsid w:val="00E8711C"/>
    <w:rsid w:val="00E91473"/>
    <w:rsid w:val="00E92724"/>
    <w:rsid w:val="00E93B34"/>
    <w:rsid w:val="00E95912"/>
    <w:rsid w:val="00EA0D8D"/>
    <w:rsid w:val="00EA29A5"/>
    <w:rsid w:val="00EA3348"/>
    <w:rsid w:val="00EA3923"/>
    <w:rsid w:val="00EA5D5E"/>
    <w:rsid w:val="00EA625C"/>
    <w:rsid w:val="00EA7BB5"/>
    <w:rsid w:val="00EA7F11"/>
    <w:rsid w:val="00EB0140"/>
    <w:rsid w:val="00EB3E34"/>
    <w:rsid w:val="00EB3FEC"/>
    <w:rsid w:val="00EB5923"/>
    <w:rsid w:val="00EB7A28"/>
    <w:rsid w:val="00EB7EC9"/>
    <w:rsid w:val="00EC15A3"/>
    <w:rsid w:val="00EC19F6"/>
    <w:rsid w:val="00EC1F66"/>
    <w:rsid w:val="00EC2A3A"/>
    <w:rsid w:val="00EC363F"/>
    <w:rsid w:val="00EC49B5"/>
    <w:rsid w:val="00EC4FE0"/>
    <w:rsid w:val="00EC5C2A"/>
    <w:rsid w:val="00ED01FD"/>
    <w:rsid w:val="00ED08E4"/>
    <w:rsid w:val="00ED2D30"/>
    <w:rsid w:val="00ED59EA"/>
    <w:rsid w:val="00ED7127"/>
    <w:rsid w:val="00ED7394"/>
    <w:rsid w:val="00EE0491"/>
    <w:rsid w:val="00EE2F1E"/>
    <w:rsid w:val="00EE3294"/>
    <w:rsid w:val="00EE32B1"/>
    <w:rsid w:val="00EE4B69"/>
    <w:rsid w:val="00EE4D60"/>
    <w:rsid w:val="00EE50A6"/>
    <w:rsid w:val="00EE6F6F"/>
    <w:rsid w:val="00EF0410"/>
    <w:rsid w:val="00EF38A3"/>
    <w:rsid w:val="00EF7942"/>
    <w:rsid w:val="00F01B85"/>
    <w:rsid w:val="00F076E7"/>
    <w:rsid w:val="00F10909"/>
    <w:rsid w:val="00F117E6"/>
    <w:rsid w:val="00F13227"/>
    <w:rsid w:val="00F13B7A"/>
    <w:rsid w:val="00F14278"/>
    <w:rsid w:val="00F17497"/>
    <w:rsid w:val="00F217A1"/>
    <w:rsid w:val="00F233D7"/>
    <w:rsid w:val="00F23A84"/>
    <w:rsid w:val="00F24B9E"/>
    <w:rsid w:val="00F25D98"/>
    <w:rsid w:val="00F27638"/>
    <w:rsid w:val="00F311A2"/>
    <w:rsid w:val="00F323E1"/>
    <w:rsid w:val="00F330C8"/>
    <w:rsid w:val="00F341A9"/>
    <w:rsid w:val="00F3482B"/>
    <w:rsid w:val="00F3753F"/>
    <w:rsid w:val="00F37DD8"/>
    <w:rsid w:val="00F40564"/>
    <w:rsid w:val="00F4205E"/>
    <w:rsid w:val="00F42C03"/>
    <w:rsid w:val="00F42C6B"/>
    <w:rsid w:val="00F42EC9"/>
    <w:rsid w:val="00F430FE"/>
    <w:rsid w:val="00F43A57"/>
    <w:rsid w:val="00F43F67"/>
    <w:rsid w:val="00F45DCD"/>
    <w:rsid w:val="00F5197A"/>
    <w:rsid w:val="00F525D6"/>
    <w:rsid w:val="00F5318C"/>
    <w:rsid w:val="00F5620B"/>
    <w:rsid w:val="00F563EA"/>
    <w:rsid w:val="00F56DD9"/>
    <w:rsid w:val="00F57438"/>
    <w:rsid w:val="00F57E1B"/>
    <w:rsid w:val="00F607A0"/>
    <w:rsid w:val="00F623DA"/>
    <w:rsid w:val="00F62511"/>
    <w:rsid w:val="00F654DC"/>
    <w:rsid w:val="00F65BA9"/>
    <w:rsid w:val="00F6796E"/>
    <w:rsid w:val="00F74DA1"/>
    <w:rsid w:val="00F75D25"/>
    <w:rsid w:val="00F769ED"/>
    <w:rsid w:val="00F7714C"/>
    <w:rsid w:val="00F77A5F"/>
    <w:rsid w:val="00F8027E"/>
    <w:rsid w:val="00F80623"/>
    <w:rsid w:val="00F816D2"/>
    <w:rsid w:val="00F81701"/>
    <w:rsid w:val="00F81B63"/>
    <w:rsid w:val="00F8275D"/>
    <w:rsid w:val="00F8300D"/>
    <w:rsid w:val="00F842FD"/>
    <w:rsid w:val="00F84EE4"/>
    <w:rsid w:val="00F85FA2"/>
    <w:rsid w:val="00F935D3"/>
    <w:rsid w:val="00F941E9"/>
    <w:rsid w:val="00F96021"/>
    <w:rsid w:val="00FA05DF"/>
    <w:rsid w:val="00FA3FB2"/>
    <w:rsid w:val="00FA4B5A"/>
    <w:rsid w:val="00FA7EF1"/>
    <w:rsid w:val="00FB06B0"/>
    <w:rsid w:val="00FB0ACF"/>
    <w:rsid w:val="00FB4922"/>
    <w:rsid w:val="00FB7E1A"/>
    <w:rsid w:val="00FC01C7"/>
    <w:rsid w:val="00FC11EF"/>
    <w:rsid w:val="00FC1EB3"/>
    <w:rsid w:val="00FC2704"/>
    <w:rsid w:val="00FC4577"/>
    <w:rsid w:val="00FC4594"/>
    <w:rsid w:val="00FC505F"/>
    <w:rsid w:val="00FC51DD"/>
    <w:rsid w:val="00FC5AB9"/>
    <w:rsid w:val="00FC6266"/>
    <w:rsid w:val="00FC63E7"/>
    <w:rsid w:val="00FD3A13"/>
    <w:rsid w:val="00FD4B26"/>
    <w:rsid w:val="00FD5102"/>
    <w:rsid w:val="00FD5371"/>
    <w:rsid w:val="00FD5E6E"/>
    <w:rsid w:val="00FD67DF"/>
    <w:rsid w:val="00FE29A5"/>
    <w:rsid w:val="00FE439A"/>
    <w:rsid w:val="00FF0D7E"/>
    <w:rsid w:val="00FF1912"/>
    <w:rsid w:val="00FF492A"/>
    <w:rsid w:val="00FF6F3D"/>
    <w:rsid w:val="00FF7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AA714F"/>
  <w15:chartTrackingRefBased/>
  <w15:docId w15:val="{1F0E8FC6-C959-F64D-BACC-844FFB1E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38"/>
  </w:style>
  <w:style w:type="paragraph" w:styleId="Heading1">
    <w:name w:val="heading 1"/>
    <w:basedOn w:val="Normal"/>
    <w:next w:val="Normal"/>
    <w:link w:val="Heading1Char"/>
    <w:uiPriority w:val="9"/>
    <w:qFormat/>
    <w:rsid w:val="00B25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B98"/>
    <w:rPr>
      <w:rFonts w:eastAsiaTheme="majorEastAsia" w:cstheme="majorBidi"/>
      <w:color w:val="272727" w:themeColor="text1" w:themeTint="D8"/>
    </w:rPr>
  </w:style>
  <w:style w:type="paragraph" w:styleId="Title">
    <w:name w:val="Title"/>
    <w:basedOn w:val="Normal"/>
    <w:next w:val="Normal"/>
    <w:link w:val="TitleChar"/>
    <w:uiPriority w:val="10"/>
    <w:qFormat/>
    <w:rsid w:val="00B25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B98"/>
    <w:pPr>
      <w:spacing w:before="160"/>
      <w:jc w:val="center"/>
    </w:pPr>
    <w:rPr>
      <w:i/>
      <w:iCs/>
      <w:color w:val="404040" w:themeColor="text1" w:themeTint="BF"/>
    </w:rPr>
  </w:style>
  <w:style w:type="character" w:customStyle="1" w:styleId="QuoteChar">
    <w:name w:val="Quote Char"/>
    <w:basedOn w:val="DefaultParagraphFont"/>
    <w:link w:val="Quote"/>
    <w:uiPriority w:val="29"/>
    <w:rsid w:val="00B25B98"/>
    <w:rPr>
      <w:i/>
      <w:iCs/>
      <w:color w:val="404040" w:themeColor="text1" w:themeTint="BF"/>
    </w:rPr>
  </w:style>
  <w:style w:type="paragraph" w:styleId="ListParagraph">
    <w:name w:val="List Paragraph"/>
    <w:basedOn w:val="Normal"/>
    <w:uiPriority w:val="34"/>
    <w:qFormat/>
    <w:rsid w:val="00B25B98"/>
    <w:pPr>
      <w:ind w:left="720"/>
      <w:contextualSpacing/>
    </w:pPr>
  </w:style>
  <w:style w:type="character" w:styleId="IntenseEmphasis">
    <w:name w:val="Intense Emphasis"/>
    <w:basedOn w:val="DefaultParagraphFont"/>
    <w:uiPriority w:val="21"/>
    <w:qFormat/>
    <w:rsid w:val="00B25B98"/>
    <w:rPr>
      <w:i/>
      <w:iCs/>
      <w:color w:val="0F4761" w:themeColor="accent1" w:themeShade="BF"/>
    </w:rPr>
  </w:style>
  <w:style w:type="paragraph" w:styleId="IntenseQuote">
    <w:name w:val="Intense Quote"/>
    <w:basedOn w:val="Normal"/>
    <w:next w:val="Normal"/>
    <w:link w:val="IntenseQuoteChar"/>
    <w:uiPriority w:val="30"/>
    <w:qFormat/>
    <w:rsid w:val="00B25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B98"/>
    <w:rPr>
      <w:i/>
      <w:iCs/>
      <w:color w:val="0F4761" w:themeColor="accent1" w:themeShade="BF"/>
    </w:rPr>
  </w:style>
  <w:style w:type="character" w:styleId="IntenseReference">
    <w:name w:val="Intense Reference"/>
    <w:basedOn w:val="DefaultParagraphFont"/>
    <w:uiPriority w:val="32"/>
    <w:qFormat/>
    <w:rsid w:val="00B25B98"/>
    <w:rPr>
      <w:b/>
      <w:bCs/>
      <w:smallCaps/>
      <w:color w:val="0F4761" w:themeColor="accent1" w:themeShade="BF"/>
      <w:spacing w:val="5"/>
    </w:rPr>
  </w:style>
  <w:style w:type="paragraph" w:customStyle="1" w:styleId="Default">
    <w:name w:val="Default"/>
    <w:rsid w:val="000C745A"/>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11</Pages>
  <Words>5269</Words>
  <Characters>30037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Barbara</dc:creator>
  <cp:keywords/>
  <dc:description/>
  <cp:lastModifiedBy>Kaplan, Barbara</cp:lastModifiedBy>
  <cp:revision>21</cp:revision>
  <dcterms:created xsi:type="dcterms:W3CDTF">2026-07-31T14:33:00Z</dcterms:created>
  <dcterms:modified xsi:type="dcterms:W3CDTF">2026-07-31T20:56:00Z</dcterms:modified>
</cp:coreProperties>
</file>